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E0A" w:rsidRPr="00E00FDC" w:rsidRDefault="00953E0A" w:rsidP="00B342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0FDC">
        <w:rPr>
          <w:rFonts w:ascii="Times New Roman" w:hAnsi="Times New Roman" w:cs="Times New Roman"/>
          <w:b/>
          <w:sz w:val="24"/>
          <w:szCs w:val="24"/>
        </w:rPr>
        <w:t>Erasmus</w:t>
      </w:r>
      <w:proofErr w:type="spellEnd"/>
      <w:r w:rsidRPr="00E00FDC">
        <w:rPr>
          <w:rFonts w:ascii="Times New Roman" w:hAnsi="Times New Roman" w:cs="Times New Roman"/>
          <w:b/>
          <w:sz w:val="24"/>
          <w:szCs w:val="24"/>
        </w:rPr>
        <w:t>+ KA171 PROJE REHBERİ</w:t>
      </w:r>
    </w:p>
    <w:p w:rsidR="00953E0A" w:rsidRPr="00E00FDC" w:rsidRDefault="00953E0A">
      <w:pPr>
        <w:rPr>
          <w:rFonts w:ascii="Times New Roman" w:hAnsi="Times New Roman" w:cs="Times New Roman"/>
          <w:sz w:val="24"/>
          <w:szCs w:val="24"/>
        </w:rPr>
      </w:pPr>
    </w:p>
    <w:p w:rsidR="00B7528E" w:rsidRPr="00E00FDC" w:rsidRDefault="00926E8E">
      <w:pPr>
        <w:rPr>
          <w:rFonts w:ascii="Times New Roman" w:hAnsi="Times New Roman" w:cs="Times New Roman"/>
          <w:sz w:val="24"/>
          <w:szCs w:val="24"/>
        </w:rPr>
      </w:pPr>
      <w:r w:rsidRPr="00E00FDC">
        <w:rPr>
          <w:rFonts w:ascii="Times New Roman" w:hAnsi="Times New Roman" w:cs="Times New Roman"/>
          <w:sz w:val="24"/>
          <w:szCs w:val="24"/>
        </w:rPr>
        <w:t>KA17</w:t>
      </w:r>
      <w:r w:rsidR="00953E0A" w:rsidRPr="00E00FDC">
        <w:rPr>
          <w:rFonts w:ascii="Times New Roman" w:hAnsi="Times New Roman" w:cs="Times New Roman"/>
          <w:sz w:val="24"/>
          <w:szCs w:val="24"/>
        </w:rPr>
        <w:t>1</w:t>
      </w:r>
      <w:r w:rsidRPr="00E00FDC">
        <w:rPr>
          <w:rFonts w:ascii="Times New Roman" w:hAnsi="Times New Roman" w:cs="Times New Roman"/>
          <w:sz w:val="24"/>
          <w:szCs w:val="24"/>
        </w:rPr>
        <w:t xml:space="preserve"> Nedir?</w:t>
      </w:r>
    </w:p>
    <w:p w:rsidR="00926E8E" w:rsidRPr="00E00FDC" w:rsidRDefault="00926E8E">
      <w:pPr>
        <w:rPr>
          <w:rFonts w:ascii="Times New Roman" w:hAnsi="Times New Roman" w:cs="Times New Roman"/>
          <w:sz w:val="24"/>
          <w:szCs w:val="24"/>
        </w:rPr>
      </w:pPr>
    </w:p>
    <w:p w:rsidR="00926E8E" w:rsidRPr="00E00FDC" w:rsidRDefault="00926E8E" w:rsidP="00926E8E">
      <w:pPr>
        <w:rPr>
          <w:rFonts w:ascii="Times New Roman" w:hAnsi="Times New Roman" w:cs="Times New Roman"/>
          <w:sz w:val="24"/>
          <w:szCs w:val="24"/>
        </w:rPr>
      </w:pPr>
      <w:r w:rsidRPr="00E00FDC">
        <w:rPr>
          <w:rFonts w:ascii="Times New Roman" w:hAnsi="Times New Roman" w:cs="Times New Roman"/>
          <w:sz w:val="24"/>
          <w:szCs w:val="24"/>
        </w:rPr>
        <w:t xml:space="preserve">Uluslararası Kredi Hareketliliği (KA171) KA131 faaliyetine benzeyen ama ayrıştığı noktalar bulunan bir hareketlilik projesidir. KA171 ve KA131'in ayrıştığı temel nokta ortaklık kurulan ülkelerdir. KA131 </w:t>
      </w:r>
      <w:proofErr w:type="gramStart"/>
      <w:r w:rsidRPr="00E00FDC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E00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FDC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E00FDC">
        <w:rPr>
          <w:rFonts w:ascii="Times New Roman" w:hAnsi="Times New Roman" w:cs="Times New Roman"/>
          <w:sz w:val="24"/>
          <w:szCs w:val="24"/>
        </w:rPr>
        <w:t xml:space="preserve"> program ülkeleriyle (AB üye ülkeleri, İzlanda, Lihtenştayn, Norveç, Makedonya, Türkiye, Sırbistan) işbirliği kurulabilirken KA171 kapsamında ortak ülkeler başlığı altında dünyanın farklı coğrafyalarından ülkelerle işbirliği tesis edilebilmektedir.</w:t>
      </w:r>
    </w:p>
    <w:p w:rsidR="00926E8E" w:rsidRPr="00E00FDC" w:rsidRDefault="00926E8E" w:rsidP="00926E8E">
      <w:pPr>
        <w:rPr>
          <w:rFonts w:ascii="Times New Roman" w:hAnsi="Times New Roman" w:cs="Times New Roman"/>
          <w:sz w:val="24"/>
          <w:szCs w:val="24"/>
        </w:rPr>
      </w:pPr>
      <w:r w:rsidRPr="00E00FDC">
        <w:rPr>
          <w:rFonts w:ascii="Times New Roman" w:hAnsi="Times New Roman" w:cs="Times New Roman"/>
          <w:sz w:val="24"/>
          <w:szCs w:val="24"/>
        </w:rPr>
        <w:t xml:space="preserve">KA171 projeleri Yükseköğretim öğrencilerine diğer bir ülkede öğrenme ve staj, yükseköğretim ve akademik olmayan kurumların personeline ise diğer bir ülkede ders verme ya da eğitim alma </w:t>
      </w:r>
      <w:proofErr w:type="gramStart"/>
      <w:r w:rsidRPr="00E00FDC">
        <w:rPr>
          <w:rFonts w:ascii="Times New Roman" w:hAnsi="Times New Roman" w:cs="Times New Roman"/>
          <w:sz w:val="24"/>
          <w:szCs w:val="24"/>
        </w:rPr>
        <w:t>imkanı</w:t>
      </w:r>
      <w:proofErr w:type="gramEnd"/>
      <w:r w:rsidRPr="00E00FDC">
        <w:rPr>
          <w:rFonts w:ascii="Times New Roman" w:hAnsi="Times New Roman" w:cs="Times New Roman"/>
          <w:sz w:val="24"/>
          <w:szCs w:val="24"/>
        </w:rPr>
        <w:t xml:space="preserve"> sunan projelerdir.</w:t>
      </w:r>
    </w:p>
    <w:p w:rsidR="008455D0" w:rsidRPr="00E00FDC" w:rsidRDefault="008455D0" w:rsidP="008455D0">
      <w:pPr>
        <w:rPr>
          <w:rFonts w:ascii="Times New Roman" w:hAnsi="Times New Roman" w:cs="Times New Roman"/>
          <w:sz w:val="24"/>
          <w:szCs w:val="24"/>
        </w:rPr>
      </w:pPr>
      <w:r w:rsidRPr="00E00FDC">
        <w:rPr>
          <w:rFonts w:ascii="Times New Roman" w:hAnsi="Times New Roman" w:cs="Times New Roman"/>
          <w:sz w:val="24"/>
          <w:szCs w:val="24"/>
        </w:rPr>
        <w:t>KA171projeleri,AB dış politika fonları tarafından desteklenen hareketlilik projeleridir.</w:t>
      </w:r>
    </w:p>
    <w:p w:rsidR="008455D0" w:rsidRPr="00E00FDC" w:rsidRDefault="008455D0" w:rsidP="008455D0">
      <w:pPr>
        <w:rPr>
          <w:rFonts w:ascii="Times New Roman" w:hAnsi="Times New Roman" w:cs="Times New Roman"/>
          <w:sz w:val="24"/>
          <w:szCs w:val="24"/>
        </w:rPr>
      </w:pPr>
      <w:r w:rsidRPr="00E00FDC">
        <w:rPr>
          <w:rFonts w:ascii="Times New Roman" w:hAnsi="Times New Roman" w:cs="Times New Roman"/>
          <w:sz w:val="24"/>
          <w:szCs w:val="24"/>
        </w:rPr>
        <w:t>Fonlar 12 farklı bölge için 12 farklı bütçe zarfına bölünmüştür ve her bütçe zarfının boyutu AB dış politika önceliklerine göre belirlenmektedir.</w:t>
      </w:r>
    </w:p>
    <w:p w:rsidR="008455D0" w:rsidRPr="00E00FDC" w:rsidRDefault="008455D0" w:rsidP="008455D0">
      <w:pPr>
        <w:rPr>
          <w:rFonts w:ascii="Times New Roman" w:hAnsi="Times New Roman" w:cs="Times New Roman"/>
          <w:sz w:val="24"/>
          <w:szCs w:val="24"/>
        </w:rPr>
      </w:pPr>
      <w:r w:rsidRPr="00E00FDC">
        <w:rPr>
          <w:rFonts w:ascii="Times New Roman" w:hAnsi="Times New Roman" w:cs="Times New Roman"/>
          <w:sz w:val="24"/>
          <w:szCs w:val="24"/>
        </w:rPr>
        <w:t xml:space="preserve">Yalnızca ECHE sahibi yükseköğretim kurumları ve koordinatör kuruluşu ECHE sahibi yükseköğretim kurumu olan hareketlilik </w:t>
      </w:r>
      <w:proofErr w:type="gramStart"/>
      <w:r w:rsidRPr="00E00FDC">
        <w:rPr>
          <w:rFonts w:ascii="Times New Roman" w:hAnsi="Times New Roman" w:cs="Times New Roman"/>
          <w:sz w:val="24"/>
          <w:szCs w:val="24"/>
        </w:rPr>
        <w:t>konsorsiyumları</w:t>
      </w:r>
      <w:proofErr w:type="gramEnd"/>
      <w:r w:rsidRPr="00E00FDC">
        <w:rPr>
          <w:rFonts w:ascii="Times New Roman" w:hAnsi="Times New Roman" w:cs="Times New Roman"/>
          <w:sz w:val="24"/>
          <w:szCs w:val="24"/>
        </w:rPr>
        <w:t xml:space="preserve"> başvurabilir.</w:t>
      </w:r>
    </w:p>
    <w:p w:rsidR="008455D0" w:rsidRPr="00E00FDC" w:rsidRDefault="008455D0" w:rsidP="008455D0">
      <w:pPr>
        <w:rPr>
          <w:rFonts w:ascii="Times New Roman" w:hAnsi="Times New Roman" w:cs="Times New Roman"/>
          <w:sz w:val="24"/>
          <w:szCs w:val="24"/>
        </w:rPr>
      </w:pPr>
      <w:r w:rsidRPr="00E00FDC">
        <w:rPr>
          <w:rFonts w:ascii="Times New Roman" w:hAnsi="Times New Roman" w:cs="Times New Roman"/>
          <w:sz w:val="24"/>
          <w:szCs w:val="24"/>
        </w:rPr>
        <w:t>Yılda sadece 1 defa teklif çağrısına çıkılır ve kurumlar sadece 1 defa başvuru yapabilir.</w:t>
      </w:r>
    </w:p>
    <w:p w:rsidR="008455D0" w:rsidRPr="00E00FDC" w:rsidRDefault="008455D0" w:rsidP="008455D0">
      <w:pPr>
        <w:rPr>
          <w:rFonts w:ascii="Times New Roman" w:hAnsi="Times New Roman" w:cs="Times New Roman"/>
          <w:sz w:val="24"/>
          <w:szCs w:val="24"/>
        </w:rPr>
      </w:pPr>
      <w:r w:rsidRPr="00E00FDC">
        <w:rPr>
          <w:rFonts w:ascii="Times New Roman" w:hAnsi="Times New Roman" w:cs="Times New Roman"/>
          <w:sz w:val="24"/>
          <w:szCs w:val="24"/>
        </w:rPr>
        <w:t>Bir projenin süresi 24 ay veya 36ay olabilir.</w:t>
      </w:r>
    </w:p>
    <w:p w:rsidR="008455D0" w:rsidRPr="00E00FDC" w:rsidRDefault="008455D0" w:rsidP="008455D0">
      <w:pPr>
        <w:rPr>
          <w:rFonts w:ascii="Times New Roman" w:hAnsi="Times New Roman" w:cs="Times New Roman"/>
          <w:sz w:val="24"/>
          <w:szCs w:val="24"/>
        </w:rPr>
      </w:pPr>
      <w:r w:rsidRPr="00E00FDC">
        <w:rPr>
          <w:rFonts w:ascii="Times New Roman" w:hAnsi="Times New Roman" w:cs="Times New Roman"/>
          <w:sz w:val="24"/>
          <w:szCs w:val="24"/>
        </w:rPr>
        <w:t xml:space="preserve">%100 personel hareketliliği veya %100 öğrenci hareketliliği veya bunların herhangi bir </w:t>
      </w:r>
      <w:proofErr w:type="gramStart"/>
      <w:r w:rsidRPr="00E00FDC">
        <w:rPr>
          <w:rFonts w:ascii="Times New Roman" w:hAnsi="Times New Roman" w:cs="Times New Roman"/>
          <w:sz w:val="24"/>
          <w:szCs w:val="24"/>
        </w:rPr>
        <w:t>kombinasyonu</w:t>
      </w:r>
      <w:proofErr w:type="gramEnd"/>
      <w:r w:rsidRPr="00E00FDC">
        <w:rPr>
          <w:rFonts w:ascii="Times New Roman" w:hAnsi="Times New Roman" w:cs="Times New Roman"/>
          <w:sz w:val="24"/>
          <w:szCs w:val="24"/>
        </w:rPr>
        <w:t xml:space="preserve"> için başvurulabilir.</w:t>
      </w:r>
    </w:p>
    <w:p w:rsidR="008455D0" w:rsidRPr="00E00FDC" w:rsidRDefault="008455D0" w:rsidP="008455D0">
      <w:pPr>
        <w:rPr>
          <w:rFonts w:ascii="Times New Roman" w:hAnsi="Times New Roman" w:cs="Times New Roman"/>
          <w:sz w:val="24"/>
          <w:szCs w:val="24"/>
        </w:rPr>
      </w:pPr>
      <w:r w:rsidRPr="00E00FDC">
        <w:rPr>
          <w:rFonts w:ascii="Times New Roman" w:hAnsi="Times New Roman" w:cs="Times New Roman"/>
          <w:sz w:val="24"/>
          <w:szCs w:val="24"/>
        </w:rPr>
        <w:t xml:space="preserve">Benzer şekilde %100 gelen yönlü veya %100 giden yönlü veya bunların herhangi bir </w:t>
      </w:r>
      <w:proofErr w:type="gramStart"/>
      <w:r w:rsidRPr="00E00FDC">
        <w:rPr>
          <w:rFonts w:ascii="Times New Roman" w:hAnsi="Times New Roman" w:cs="Times New Roman"/>
          <w:sz w:val="24"/>
          <w:szCs w:val="24"/>
        </w:rPr>
        <w:t>kombinasyonu</w:t>
      </w:r>
      <w:proofErr w:type="gramEnd"/>
      <w:r w:rsidRPr="00E00FDC">
        <w:rPr>
          <w:rFonts w:ascii="Times New Roman" w:hAnsi="Times New Roman" w:cs="Times New Roman"/>
          <w:sz w:val="24"/>
          <w:szCs w:val="24"/>
        </w:rPr>
        <w:t xml:space="preserve"> için başvurulabilir.</w:t>
      </w:r>
    </w:p>
    <w:p w:rsidR="008455D0" w:rsidRPr="00E00FDC" w:rsidRDefault="008455D0" w:rsidP="008455D0">
      <w:pPr>
        <w:rPr>
          <w:rFonts w:ascii="Times New Roman" w:hAnsi="Times New Roman" w:cs="Times New Roman"/>
          <w:sz w:val="24"/>
          <w:szCs w:val="24"/>
        </w:rPr>
      </w:pPr>
      <w:r w:rsidRPr="00E00FDC">
        <w:rPr>
          <w:rFonts w:ascii="Times New Roman" w:hAnsi="Times New Roman" w:cs="Times New Roman"/>
          <w:sz w:val="24"/>
          <w:szCs w:val="24"/>
        </w:rPr>
        <w:t>Giden ve gelen hareketliliklere ilişkin tüm hibe ödemeleri koordinatör kurum tarafından yapılır.</w:t>
      </w:r>
    </w:p>
    <w:p w:rsidR="00926E8E" w:rsidRPr="00E00FDC" w:rsidRDefault="00926E8E" w:rsidP="00926E8E">
      <w:pPr>
        <w:rPr>
          <w:rFonts w:ascii="Times New Roman" w:hAnsi="Times New Roman" w:cs="Times New Roman"/>
          <w:sz w:val="24"/>
          <w:szCs w:val="24"/>
        </w:rPr>
      </w:pPr>
    </w:p>
    <w:p w:rsidR="00926E8E" w:rsidRPr="00E00FDC" w:rsidRDefault="00926E8E" w:rsidP="00926E8E">
      <w:pPr>
        <w:rPr>
          <w:rFonts w:ascii="Times New Roman" w:hAnsi="Times New Roman" w:cs="Times New Roman"/>
          <w:sz w:val="24"/>
          <w:szCs w:val="24"/>
        </w:rPr>
      </w:pPr>
      <w:r w:rsidRPr="00E00FDC">
        <w:rPr>
          <w:rFonts w:ascii="Times New Roman" w:hAnsi="Times New Roman" w:cs="Times New Roman"/>
          <w:sz w:val="24"/>
          <w:szCs w:val="24"/>
        </w:rPr>
        <w:t>KA171 Projelerinin Temel amaçları nelerdir?</w:t>
      </w:r>
    </w:p>
    <w:p w:rsidR="00926E8E" w:rsidRPr="00E00FDC" w:rsidRDefault="00926E8E" w:rsidP="00926E8E">
      <w:pPr>
        <w:rPr>
          <w:rFonts w:ascii="Times New Roman" w:hAnsi="Times New Roman" w:cs="Times New Roman"/>
          <w:sz w:val="24"/>
          <w:szCs w:val="24"/>
        </w:rPr>
      </w:pPr>
      <w:r w:rsidRPr="00E00FDC">
        <w:rPr>
          <w:rFonts w:ascii="Times New Roman" w:hAnsi="Times New Roman" w:cs="Times New Roman"/>
          <w:sz w:val="24"/>
          <w:szCs w:val="24"/>
        </w:rPr>
        <w:t>• Öğrencilerinin kişisel gelişimlerini ve istihdam edilebilirliklerini</w:t>
      </w:r>
      <w:r w:rsidR="008455D0" w:rsidRPr="00E00FDC">
        <w:rPr>
          <w:rFonts w:ascii="Times New Roman" w:hAnsi="Times New Roman" w:cs="Times New Roman"/>
          <w:sz w:val="24"/>
          <w:szCs w:val="24"/>
        </w:rPr>
        <w:t xml:space="preserve"> </w:t>
      </w:r>
      <w:r w:rsidRPr="00E00FDC">
        <w:rPr>
          <w:rFonts w:ascii="Times New Roman" w:hAnsi="Times New Roman" w:cs="Times New Roman"/>
          <w:sz w:val="24"/>
          <w:szCs w:val="24"/>
        </w:rPr>
        <w:t>desteklemek</w:t>
      </w:r>
    </w:p>
    <w:p w:rsidR="00926E8E" w:rsidRPr="00E00FDC" w:rsidRDefault="00926E8E" w:rsidP="00926E8E">
      <w:pPr>
        <w:rPr>
          <w:rFonts w:ascii="Times New Roman" w:hAnsi="Times New Roman" w:cs="Times New Roman"/>
          <w:sz w:val="24"/>
          <w:szCs w:val="24"/>
        </w:rPr>
      </w:pPr>
      <w:r w:rsidRPr="00E00FDC">
        <w:rPr>
          <w:rFonts w:ascii="Times New Roman" w:hAnsi="Times New Roman" w:cs="Times New Roman"/>
          <w:sz w:val="24"/>
          <w:szCs w:val="24"/>
        </w:rPr>
        <w:t>• Personelinin mesleki gelişimini desteklemek</w:t>
      </w:r>
    </w:p>
    <w:p w:rsidR="00926E8E" w:rsidRPr="00E00FDC" w:rsidRDefault="00926E8E" w:rsidP="00926E8E">
      <w:pPr>
        <w:rPr>
          <w:rFonts w:ascii="Times New Roman" w:hAnsi="Times New Roman" w:cs="Times New Roman"/>
          <w:sz w:val="24"/>
          <w:szCs w:val="24"/>
        </w:rPr>
      </w:pPr>
      <w:r w:rsidRPr="00E00FDC">
        <w:rPr>
          <w:rFonts w:ascii="Times New Roman" w:hAnsi="Times New Roman" w:cs="Times New Roman"/>
          <w:sz w:val="24"/>
          <w:szCs w:val="24"/>
        </w:rPr>
        <w:t xml:space="preserve">• </w:t>
      </w:r>
      <w:r w:rsidR="008455D0" w:rsidRPr="00E00FDC">
        <w:rPr>
          <w:rFonts w:ascii="Times New Roman" w:hAnsi="Times New Roman" w:cs="Times New Roman"/>
          <w:sz w:val="24"/>
          <w:szCs w:val="24"/>
        </w:rPr>
        <w:t>Yükseköğretim</w:t>
      </w:r>
      <w:r w:rsidRPr="00E00FDC">
        <w:rPr>
          <w:rFonts w:ascii="Times New Roman" w:hAnsi="Times New Roman" w:cs="Times New Roman"/>
          <w:sz w:val="24"/>
          <w:szCs w:val="24"/>
        </w:rPr>
        <w:t xml:space="preserve"> kurumlarının kapasitelerini ve uluslararası boyutunu</w:t>
      </w:r>
      <w:r w:rsidR="008455D0" w:rsidRPr="00E00FDC">
        <w:rPr>
          <w:rFonts w:ascii="Times New Roman" w:hAnsi="Times New Roman" w:cs="Times New Roman"/>
          <w:sz w:val="24"/>
          <w:szCs w:val="24"/>
        </w:rPr>
        <w:t xml:space="preserve"> </w:t>
      </w:r>
      <w:r w:rsidRPr="00E00FDC">
        <w:rPr>
          <w:rFonts w:ascii="Times New Roman" w:hAnsi="Times New Roman" w:cs="Times New Roman"/>
          <w:sz w:val="24"/>
          <w:szCs w:val="24"/>
        </w:rPr>
        <w:t>geliştirmek</w:t>
      </w:r>
    </w:p>
    <w:p w:rsidR="00926E8E" w:rsidRPr="00E00FDC" w:rsidRDefault="00926E8E" w:rsidP="00926E8E">
      <w:pPr>
        <w:rPr>
          <w:rFonts w:ascii="Times New Roman" w:hAnsi="Times New Roman" w:cs="Times New Roman"/>
          <w:sz w:val="24"/>
          <w:szCs w:val="24"/>
        </w:rPr>
      </w:pPr>
    </w:p>
    <w:p w:rsidR="00926E8E" w:rsidRPr="00E00FDC" w:rsidRDefault="00926E8E" w:rsidP="00926E8E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E00FDC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KA171 </w:t>
      </w:r>
      <w:r w:rsidR="008455D0" w:rsidRPr="00E00FDC">
        <w:rPr>
          <w:rFonts w:ascii="Times New Roman" w:hAnsi="Times New Roman" w:cs="Times New Roman"/>
          <w:color w:val="FF0000"/>
          <w:sz w:val="24"/>
          <w:szCs w:val="24"/>
        </w:rPr>
        <w:t>Ne Değildir?</w:t>
      </w:r>
    </w:p>
    <w:p w:rsidR="00926E8E" w:rsidRPr="00E00FDC" w:rsidRDefault="00926E8E" w:rsidP="00926E8E">
      <w:pPr>
        <w:rPr>
          <w:rFonts w:ascii="Times New Roman" w:hAnsi="Times New Roman" w:cs="Times New Roman"/>
          <w:sz w:val="24"/>
          <w:szCs w:val="24"/>
        </w:rPr>
      </w:pPr>
    </w:p>
    <w:p w:rsidR="00926E8E" w:rsidRPr="00E00FDC" w:rsidRDefault="00926E8E" w:rsidP="00926E8E">
      <w:pPr>
        <w:rPr>
          <w:rFonts w:ascii="Times New Roman" w:hAnsi="Times New Roman" w:cs="Times New Roman"/>
          <w:sz w:val="24"/>
          <w:szCs w:val="24"/>
        </w:rPr>
      </w:pPr>
      <w:r w:rsidRPr="00E00FDC">
        <w:rPr>
          <w:rFonts w:ascii="Times New Roman" w:hAnsi="Times New Roman" w:cs="Times New Roman"/>
          <w:sz w:val="24"/>
          <w:szCs w:val="24"/>
        </w:rPr>
        <w:t>– KA171 faaliyetinin birebir genişletilmiş hali değildir.</w:t>
      </w:r>
    </w:p>
    <w:p w:rsidR="00926E8E" w:rsidRPr="00E00FDC" w:rsidRDefault="00926E8E" w:rsidP="00926E8E">
      <w:pPr>
        <w:rPr>
          <w:rFonts w:ascii="Times New Roman" w:hAnsi="Times New Roman" w:cs="Times New Roman"/>
          <w:sz w:val="24"/>
          <w:szCs w:val="24"/>
        </w:rPr>
      </w:pPr>
      <w:r w:rsidRPr="00E00FDC">
        <w:rPr>
          <w:rFonts w:ascii="Times New Roman" w:hAnsi="Times New Roman" w:cs="Times New Roman"/>
          <w:sz w:val="24"/>
          <w:szCs w:val="24"/>
        </w:rPr>
        <w:t>– Kısıtlı mali kaynaklar ve rekabet içeren bir seçim süreci mevcuttur, Ulusal Ajans'a sunulan proje başvuruları kalite değerlendirmesine tabi tutulmaktadır.</w:t>
      </w:r>
    </w:p>
    <w:p w:rsidR="00926E8E" w:rsidRPr="00E00FDC" w:rsidRDefault="00926E8E" w:rsidP="00926E8E">
      <w:pPr>
        <w:rPr>
          <w:rFonts w:ascii="Times New Roman" w:hAnsi="Times New Roman" w:cs="Times New Roman"/>
          <w:sz w:val="24"/>
          <w:szCs w:val="24"/>
        </w:rPr>
      </w:pPr>
      <w:r w:rsidRPr="00E00FDC">
        <w:rPr>
          <w:rFonts w:ascii="Times New Roman" w:hAnsi="Times New Roman" w:cs="Times New Roman"/>
          <w:sz w:val="24"/>
          <w:szCs w:val="24"/>
        </w:rPr>
        <w:t>– Proje sahibi üniversiteler ‘</w:t>
      </w:r>
      <w:proofErr w:type="spellStart"/>
      <w:r w:rsidRPr="00E00FDC">
        <w:rPr>
          <w:rFonts w:ascii="Times New Roman" w:hAnsi="Times New Roman" w:cs="Times New Roman"/>
          <w:sz w:val="24"/>
          <w:szCs w:val="24"/>
        </w:rPr>
        <w:t>outgoing</w:t>
      </w:r>
      <w:proofErr w:type="spellEnd"/>
      <w:r w:rsidRPr="00E00FDC">
        <w:rPr>
          <w:rFonts w:ascii="Times New Roman" w:hAnsi="Times New Roman" w:cs="Times New Roman"/>
          <w:sz w:val="24"/>
          <w:szCs w:val="24"/>
        </w:rPr>
        <w:t>’ ile birlikte ‘</w:t>
      </w:r>
      <w:proofErr w:type="spellStart"/>
      <w:r w:rsidRPr="00E00FDC">
        <w:rPr>
          <w:rFonts w:ascii="Times New Roman" w:hAnsi="Times New Roman" w:cs="Times New Roman"/>
          <w:sz w:val="24"/>
          <w:szCs w:val="24"/>
        </w:rPr>
        <w:t>incoming</w:t>
      </w:r>
      <w:proofErr w:type="spellEnd"/>
      <w:r w:rsidRPr="00E00FDC">
        <w:rPr>
          <w:rFonts w:ascii="Times New Roman" w:hAnsi="Times New Roman" w:cs="Times New Roman"/>
          <w:sz w:val="24"/>
          <w:szCs w:val="24"/>
        </w:rPr>
        <w:t>’</w:t>
      </w:r>
      <w:r w:rsidR="008455D0" w:rsidRPr="00E00FDC">
        <w:rPr>
          <w:rFonts w:ascii="Times New Roman" w:hAnsi="Times New Roman" w:cs="Times New Roman"/>
          <w:sz w:val="24"/>
          <w:szCs w:val="24"/>
        </w:rPr>
        <w:t xml:space="preserve"> </w:t>
      </w:r>
      <w:r w:rsidRPr="00E00FDC">
        <w:rPr>
          <w:rFonts w:ascii="Times New Roman" w:hAnsi="Times New Roman" w:cs="Times New Roman"/>
          <w:sz w:val="24"/>
          <w:szCs w:val="24"/>
        </w:rPr>
        <w:t xml:space="preserve">faaliyetleri de </w:t>
      </w:r>
      <w:proofErr w:type="gramStart"/>
      <w:r w:rsidRPr="00E00FDC">
        <w:rPr>
          <w:rFonts w:ascii="Times New Roman" w:hAnsi="Times New Roman" w:cs="Times New Roman"/>
          <w:sz w:val="24"/>
          <w:szCs w:val="24"/>
        </w:rPr>
        <w:t>yürütürler</w:t>
      </w:r>
      <w:proofErr w:type="gramEnd"/>
      <w:r w:rsidRPr="00E00FDC">
        <w:rPr>
          <w:rFonts w:ascii="Times New Roman" w:hAnsi="Times New Roman" w:cs="Times New Roman"/>
          <w:sz w:val="24"/>
          <w:szCs w:val="24"/>
        </w:rPr>
        <w:t>.</w:t>
      </w:r>
    </w:p>
    <w:p w:rsidR="00926E8E" w:rsidRPr="00E00FDC" w:rsidRDefault="00926E8E" w:rsidP="00926E8E">
      <w:pPr>
        <w:rPr>
          <w:rFonts w:ascii="Times New Roman" w:hAnsi="Times New Roman" w:cs="Times New Roman"/>
          <w:sz w:val="24"/>
          <w:szCs w:val="24"/>
        </w:rPr>
      </w:pPr>
      <w:r w:rsidRPr="00E00FDC">
        <w:rPr>
          <w:rFonts w:ascii="Times New Roman" w:hAnsi="Times New Roman" w:cs="Times New Roman"/>
          <w:sz w:val="24"/>
          <w:szCs w:val="24"/>
        </w:rPr>
        <w:t>– KA171 kurallarına benzer kurallara sahip olsa da, ayrıştığı</w:t>
      </w:r>
      <w:r w:rsidR="008455D0" w:rsidRPr="00E00FDC">
        <w:rPr>
          <w:rFonts w:ascii="Times New Roman" w:hAnsi="Times New Roman" w:cs="Times New Roman"/>
          <w:sz w:val="24"/>
          <w:szCs w:val="24"/>
        </w:rPr>
        <w:t xml:space="preserve"> </w:t>
      </w:r>
      <w:r w:rsidRPr="00E00FDC">
        <w:rPr>
          <w:rFonts w:ascii="Times New Roman" w:hAnsi="Times New Roman" w:cs="Times New Roman"/>
          <w:sz w:val="24"/>
          <w:szCs w:val="24"/>
        </w:rPr>
        <w:t>noktalar bulunmaktadır.</w:t>
      </w:r>
    </w:p>
    <w:p w:rsidR="00926E8E" w:rsidRPr="00E00FDC" w:rsidRDefault="00926E8E" w:rsidP="00926E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5"/>
        <w:gridCol w:w="4106"/>
      </w:tblGrid>
      <w:tr w:rsidR="00926E8E" w:rsidRPr="00E00FDC" w:rsidTr="00926E8E">
        <w:tc>
          <w:tcPr>
            <w:tcW w:w="4105" w:type="dxa"/>
            <w:vAlign w:val="center"/>
          </w:tcPr>
          <w:p w:rsidR="00926E8E" w:rsidRPr="00E00FDC" w:rsidRDefault="00926E8E" w:rsidP="00926E8E">
            <w:pPr>
              <w:pStyle w:val="NormalWeb"/>
              <w:spacing w:before="0" w:beforeAutospacing="0" w:after="150" w:afterAutospacing="0"/>
              <w:rPr>
                <w:color w:val="666666"/>
              </w:rPr>
            </w:pPr>
            <w:proofErr w:type="spellStart"/>
            <w:r w:rsidRPr="00E00FDC">
              <w:rPr>
                <w:rStyle w:val="Gl"/>
                <w:color w:val="555555"/>
              </w:rPr>
              <w:t>Region</w:t>
            </w:r>
            <w:proofErr w:type="spellEnd"/>
            <w:r w:rsidRPr="00E00FDC">
              <w:rPr>
                <w:rStyle w:val="Gl"/>
                <w:color w:val="555555"/>
              </w:rPr>
              <w:t xml:space="preserve"> 1  Western</w:t>
            </w:r>
            <w:r w:rsidRPr="00E00FDC">
              <w:rPr>
                <w:color w:val="666666"/>
              </w:rPr>
              <w:t> </w:t>
            </w:r>
            <w:proofErr w:type="spellStart"/>
            <w:r w:rsidRPr="00E00FDC">
              <w:rPr>
                <w:rStyle w:val="Gl"/>
                <w:color w:val="555555"/>
              </w:rPr>
              <w:t>Balkans</w:t>
            </w:r>
            <w:proofErr w:type="spellEnd"/>
          </w:p>
        </w:tc>
        <w:tc>
          <w:tcPr>
            <w:tcW w:w="4106" w:type="dxa"/>
            <w:vAlign w:val="center"/>
          </w:tcPr>
          <w:p w:rsidR="00926E8E" w:rsidRPr="00E00FDC" w:rsidRDefault="00926E8E" w:rsidP="00926E8E">
            <w:pPr>
              <w:pStyle w:val="NormalWeb"/>
              <w:spacing w:before="0" w:beforeAutospacing="0" w:after="150" w:afterAutospacing="0"/>
              <w:rPr>
                <w:color w:val="666666"/>
              </w:rPr>
            </w:pPr>
            <w:r w:rsidRPr="00E00FDC">
              <w:rPr>
                <w:color w:val="666666"/>
              </w:rPr>
              <w:t xml:space="preserve">Albania, </w:t>
            </w:r>
            <w:proofErr w:type="spellStart"/>
            <w:r w:rsidRPr="00E00FDC">
              <w:rPr>
                <w:color w:val="666666"/>
              </w:rPr>
              <w:t>Bosnia</w:t>
            </w:r>
            <w:proofErr w:type="spellEnd"/>
            <w:r w:rsidRPr="00E00FDC">
              <w:rPr>
                <w:color w:val="666666"/>
              </w:rPr>
              <w:t xml:space="preserve"> </w:t>
            </w:r>
            <w:proofErr w:type="spellStart"/>
            <w:r w:rsidRPr="00E00FDC">
              <w:rPr>
                <w:color w:val="666666"/>
              </w:rPr>
              <w:t>and</w:t>
            </w:r>
            <w:proofErr w:type="spellEnd"/>
            <w:r w:rsidRPr="00E00FDC">
              <w:rPr>
                <w:color w:val="666666"/>
              </w:rPr>
              <w:t xml:space="preserve"> </w:t>
            </w:r>
            <w:proofErr w:type="spellStart"/>
            <w:r w:rsidRPr="00E00FDC">
              <w:rPr>
                <w:color w:val="666666"/>
              </w:rPr>
              <w:t>Herzegovina</w:t>
            </w:r>
            <w:proofErr w:type="spellEnd"/>
            <w:r w:rsidRPr="00E00FDC">
              <w:rPr>
                <w:color w:val="666666"/>
              </w:rPr>
              <w:t xml:space="preserve">, </w:t>
            </w:r>
            <w:proofErr w:type="spellStart"/>
            <w:r w:rsidRPr="00E00FDC">
              <w:rPr>
                <w:color w:val="666666"/>
              </w:rPr>
              <w:t>Kosovo</w:t>
            </w:r>
            <w:proofErr w:type="spellEnd"/>
            <w:r w:rsidRPr="00E00FDC">
              <w:rPr>
                <w:color w:val="666666"/>
              </w:rPr>
              <w:t xml:space="preserve">, </w:t>
            </w:r>
            <w:proofErr w:type="spellStart"/>
            <w:r w:rsidRPr="00E00FDC">
              <w:rPr>
                <w:color w:val="666666"/>
              </w:rPr>
              <w:t>Montenegro</w:t>
            </w:r>
            <w:proofErr w:type="spellEnd"/>
          </w:p>
        </w:tc>
      </w:tr>
      <w:tr w:rsidR="00926E8E" w:rsidRPr="00E00FDC" w:rsidTr="00926E8E">
        <w:tc>
          <w:tcPr>
            <w:tcW w:w="4105" w:type="dxa"/>
            <w:vAlign w:val="center"/>
          </w:tcPr>
          <w:p w:rsidR="00926E8E" w:rsidRPr="00E00FDC" w:rsidRDefault="00926E8E" w:rsidP="00926E8E">
            <w:pPr>
              <w:pStyle w:val="NormalWeb"/>
              <w:spacing w:before="0" w:beforeAutospacing="0" w:after="150" w:afterAutospacing="0"/>
              <w:rPr>
                <w:color w:val="666666"/>
              </w:rPr>
            </w:pPr>
            <w:proofErr w:type="spellStart"/>
            <w:r w:rsidRPr="00E00FDC">
              <w:rPr>
                <w:rStyle w:val="Gl"/>
                <w:color w:val="555555"/>
              </w:rPr>
              <w:t>Region</w:t>
            </w:r>
            <w:proofErr w:type="spellEnd"/>
            <w:r w:rsidRPr="00E00FDC">
              <w:rPr>
                <w:rStyle w:val="Gl"/>
                <w:color w:val="555555"/>
              </w:rPr>
              <w:t xml:space="preserve"> 2  </w:t>
            </w:r>
            <w:proofErr w:type="spellStart"/>
            <w:r w:rsidRPr="00E00FDC">
              <w:rPr>
                <w:rStyle w:val="Gl"/>
                <w:color w:val="555555"/>
              </w:rPr>
              <w:t>Neighborhood</w:t>
            </w:r>
            <w:proofErr w:type="spellEnd"/>
            <w:r w:rsidRPr="00E00FDC">
              <w:rPr>
                <w:color w:val="666666"/>
              </w:rPr>
              <w:t> </w:t>
            </w:r>
            <w:r w:rsidRPr="00E00FDC">
              <w:rPr>
                <w:rStyle w:val="Gl"/>
                <w:color w:val="555555"/>
              </w:rPr>
              <w:t>East</w:t>
            </w:r>
          </w:p>
        </w:tc>
        <w:tc>
          <w:tcPr>
            <w:tcW w:w="4106" w:type="dxa"/>
            <w:vAlign w:val="center"/>
          </w:tcPr>
          <w:p w:rsidR="00926E8E" w:rsidRPr="00E00FDC" w:rsidRDefault="00926E8E" w:rsidP="00926E8E">
            <w:pPr>
              <w:pStyle w:val="NormalWeb"/>
              <w:spacing w:before="0" w:beforeAutospacing="0" w:after="150" w:afterAutospacing="0"/>
              <w:rPr>
                <w:color w:val="666666"/>
              </w:rPr>
            </w:pPr>
            <w:proofErr w:type="spellStart"/>
            <w:r w:rsidRPr="00E00FDC">
              <w:rPr>
                <w:rStyle w:val="Gl"/>
                <w:color w:val="555555"/>
              </w:rPr>
              <w:t>Armenia</w:t>
            </w:r>
            <w:proofErr w:type="spellEnd"/>
            <w:r w:rsidRPr="00E00FDC">
              <w:rPr>
                <w:rStyle w:val="Gl"/>
                <w:color w:val="555555"/>
              </w:rPr>
              <w:t xml:space="preserve">, </w:t>
            </w:r>
            <w:proofErr w:type="spellStart"/>
            <w:r w:rsidRPr="00E00FDC">
              <w:rPr>
                <w:rStyle w:val="Gl"/>
                <w:color w:val="555555"/>
              </w:rPr>
              <w:t>Azerbaijan</w:t>
            </w:r>
            <w:proofErr w:type="spellEnd"/>
            <w:r w:rsidRPr="00E00FDC">
              <w:rPr>
                <w:rStyle w:val="Gl"/>
                <w:color w:val="555555"/>
              </w:rPr>
              <w:t xml:space="preserve">, </w:t>
            </w:r>
            <w:proofErr w:type="spellStart"/>
            <w:r w:rsidRPr="00E00FDC">
              <w:rPr>
                <w:rStyle w:val="Gl"/>
                <w:color w:val="555555"/>
              </w:rPr>
              <w:t>Belarus</w:t>
            </w:r>
            <w:proofErr w:type="spellEnd"/>
            <w:r w:rsidRPr="00E00FDC">
              <w:rPr>
                <w:rStyle w:val="Gl"/>
                <w:color w:val="555555"/>
              </w:rPr>
              <w:t xml:space="preserve">, Georgia, Moldova, </w:t>
            </w:r>
            <w:proofErr w:type="spellStart"/>
            <w:r w:rsidRPr="00E00FDC">
              <w:rPr>
                <w:rStyle w:val="Gl"/>
                <w:color w:val="555555"/>
              </w:rPr>
              <w:t>Ukraine</w:t>
            </w:r>
            <w:proofErr w:type="spellEnd"/>
          </w:p>
        </w:tc>
      </w:tr>
      <w:tr w:rsidR="00926E8E" w:rsidRPr="00E00FDC" w:rsidTr="00926E8E">
        <w:tc>
          <w:tcPr>
            <w:tcW w:w="4105" w:type="dxa"/>
            <w:vAlign w:val="center"/>
          </w:tcPr>
          <w:p w:rsidR="00926E8E" w:rsidRPr="00E00FDC" w:rsidRDefault="00926E8E" w:rsidP="00926E8E">
            <w:pPr>
              <w:pStyle w:val="NormalWeb"/>
              <w:spacing w:before="0" w:beforeAutospacing="0" w:after="150" w:afterAutospacing="0"/>
              <w:rPr>
                <w:color w:val="666666"/>
              </w:rPr>
            </w:pPr>
            <w:proofErr w:type="spellStart"/>
            <w:r w:rsidRPr="00E00FDC">
              <w:rPr>
                <w:rStyle w:val="Gl"/>
                <w:color w:val="555555"/>
              </w:rPr>
              <w:t>Region</w:t>
            </w:r>
            <w:proofErr w:type="spellEnd"/>
            <w:r w:rsidRPr="00E00FDC">
              <w:rPr>
                <w:color w:val="666666"/>
              </w:rPr>
              <w:t> </w:t>
            </w:r>
            <w:r w:rsidRPr="00E00FDC">
              <w:rPr>
                <w:rStyle w:val="Gl"/>
                <w:color w:val="555555"/>
              </w:rPr>
              <w:t>3</w:t>
            </w:r>
          </w:p>
          <w:p w:rsidR="00926E8E" w:rsidRPr="00E00FDC" w:rsidRDefault="00926E8E" w:rsidP="00926E8E">
            <w:pPr>
              <w:pStyle w:val="NormalWeb"/>
              <w:spacing w:before="0" w:beforeAutospacing="0" w:after="150" w:afterAutospacing="0"/>
              <w:rPr>
                <w:color w:val="666666"/>
              </w:rPr>
            </w:pPr>
            <w:r w:rsidRPr="00E00FDC">
              <w:rPr>
                <w:rStyle w:val="Gl"/>
                <w:color w:val="555555"/>
              </w:rPr>
              <w:t>South-</w:t>
            </w:r>
            <w:proofErr w:type="spellStart"/>
            <w:r w:rsidRPr="00E00FDC">
              <w:rPr>
                <w:rStyle w:val="Gl"/>
                <w:color w:val="555555"/>
              </w:rPr>
              <w:t>Mediterranean</w:t>
            </w:r>
            <w:proofErr w:type="spellEnd"/>
            <w:r w:rsidRPr="00E00FDC">
              <w:rPr>
                <w:color w:val="666666"/>
              </w:rPr>
              <w:t> </w:t>
            </w:r>
            <w:proofErr w:type="spellStart"/>
            <w:r w:rsidRPr="00E00FDC">
              <w:rPr>
                <w:rStyle w:val="Gl"/>
                <w:color w:val="555555"/>
              </w:rPr>
              <w:t>Countries</w:t>
            </w:r>
            <w:proofErr w:type="spellEnd"/>
          </w:p>
        </w:tc>
        <w:tc>
          <w:tcPr>
            <w:tcW w:w="4106" w:type="dxa"/>
            <w:vAlign w:val="center"/>
          </w:tcPr>
          <w:p w:rsidR="00926E8E" w:rsidRPr="00E00FDC" w:rsidRDefault="00926E8E" w:rsidP="00926E8E">
            <w:pPr>
              <w:pStyle w:val="NormalWeb"/>
              <w:spacing w:before="0" w:beforeAutospacing="0" w:after="150" w:afterAutospacing="0"/>
              <w:rPr>
                <w:color w:val="666666"/>
              </w:rPr>
            </w:pPr>
            <w:proofErr w:type="spellStart"/>
            <w:r w:rsidRPr="00E00FDC">
              <w:rPr>
                <w:rStyle w:val="Gl"/>
                <w:color w:val="555555"/>
              </w:rPr>
              <w:t>Algeria</w:t>
            </w:r>
            <w:proofErr w:type="spellEnd"/>
            <w:r w:rsidRPr="00E00FDC">
              <w:rPr>
                <w:rStyle w:val="Gl"/>
                <w:color w:val="555555"/>
              </w:rPr>
              <w:t xml:space="preserve">, </w:t>
            </w:r>
            <w:proofErr w:type="spellStart"/>
            <w:r w:rsidRPr="00E00FDC">
              <w:rPr>
                <w:rStyle w:val="Gl"/>
                <w:color w:val="555555"/>
              </w:rPr>
              <w:t>Egypt</w:t>
            </w:r>
            <w:proofErr w:type="spellEnd"/>
            <w:r w:rsidRPr="00E00FDC">
              <w:rPr>
                <w:color w:val="666666"/>
              </w:rPr>
              <w:t xml:space="preserve">, </w:t>
            </w:r>
            <w:proofErr w:type="spellStart"/>
            <w:r w:rsidRPr="00E00FDC">
              <w:rPr>
                <w:color w:val="666666"/>
              </w:rPr>
              <w:t>Israel</w:t>
            </w:r>
            <w:proofErr w:type="spellEnd"/>
            <w:r w:rsidRPr="00E00FDC">
              <w:rPr>
                <w:color w:val="666666"/>
              </w:rPr>
              <w:t>, </w:t>
            </w:r>
            <w:r w:rsidRPr="00E00FDC">
              <w:rPr>
                <w:rStyle w:val="Gl"/>
                <w:color w:val="555555"/>
              </w:rPr>
              <w:t xml:space="preserve">Jordan, </w:t>
            </w:r>
            <w:proofErr w:type="spellStart"/>
            <w:r w:rsidRPr="00E00FDC">
              <w:rPr>
                <w:rStyle w:val="Gl"/>
                <w:color w:val="555555"/>
              </w:rPr>
              <w:t>Lebanon</w:t>
            </w:r>
            <w:proofErr w:type="spellEnd"/>
            <w:r w:rsidRPr="00E00FDC">
              <w:rPr>
                <w:rStyle w:val="Gl"/>
                <w:color w:val="555555"/>
              </w:rPr>
              <w:t xml:space="preserve">, Libya, </w:t>
            </w:r>
            <w:proofErr w:type="spellStart"/>
            <w:r w:rsidRPr="00E00FDC">
              <w:rPr>
                <w:rStyle w:val="Gl"/>
                <w:color w:val="555555"/>
              </w:rPr>
              <w:t>Morocco</w:t>
            </w:r>
            <w:proofErr w:type="spellEnd"/>
            <w:r w:rsidRPr="00E00FDC">
              <w:rPr>
                <w:rStyle w:val="Gl"/>
                <w:color w:val="555555"/>
              </w:rPr>
              <w:t xml:space="preserve">, </w:t>
            </w:r>
            <w:proofErr w:type="spellStart"/>
            <w:r w:rsidRPr="00E00FDC">
              <w:rPr>
                <w:rStyle w:val="Gl"/>
                <w:color w:val="555555"/>
              </w:rPr>
              <w:t>Palestine</w:t>
            </w:r>
            <w:proofErr w:type="spellEnd"/>
            <w:r w:rsidRPr="00E00FDC">
              <w:rPr>
                <w:rStyle w:val="Gl"/>
                <w:color w:val="555555"/>
              </w:rPr>
              <w:t xml:space="preserve">, </w:t>
            </w:r>
            <w:proofErr w:type="spellStart"/>
            <w:r w:rsidRPr="00E00FDC">
              <w:rPr>
                <w:rStyle w:val="Gl"/>
                <w:color w:val="555555"/>
              </w:rPr>
              <w:t>Syria</w:t>
            </w:r>
            <w:proofErr w:type="spellEnd"/>
            <w:r w:rsidRPr="00E00FDC">
              <w:rPr>
                <w:rStyle w:val="Gl"/>
                <w:color w:val="555555"/>
              </w:rPr>
              <w:t>,</w:t>
            </w:r>
            <w:r w:rsidRPr="00E00FDC">
              <w:rPr>
                <w:color w:val="666666"/>
              </w:rPr>
              <w:t> </w:t>
            </w:r>
            <w:proofErr w:type="spellStart"/>
            <w:r w:rsidRPr="00E00FDC">
              <w:rPr>
                <w:rStyle w:val="Gl"/>
                <w:color w:val="555555"/>
              </w:rPr>
              <w:t>Tunisia</w:t>
            </w:r>
            <w:proofErr w:type="spellEnd"/>
          </w:p>
        </w:tc>
      </w:tr>
      <w:tr w:rsidR="00926E8E" w:rsidRPr="00E00FDC" w:rsidTr="00926E8E">
        <w:tc>
          <w:tcPr>
            <w:tcW w:w="4105" w:type="dxa"/>
            <w:hideMark/>
          </w:tcPr>
          <w:p w:rsidR="00926E8E" w:rsidRPr="00E00FDC" w:rsidRDefault="00926E8E" w:rsidP="00926E8E">
            <w:pPr>
              <w:spacing w:after="15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Region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 </w:t>
            </w:r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4  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Russia</w:t>
            </w:r>
            <w:proofErr w:type="spellEnd"/>
          </w:p>
        </w:tc>
        <w:tc>
          <w:tcPr>
            <w:tcW w:w="4106" w:type="dxa"/>
            <w:hideMark/>
          </w:tcPr>
          <w:p w:rsidR="00926E8E" w:rsidRPr="00E00FDC" w:rsidRDefault="00926E8E" w:rsidP="00926E8E">
            <w:pPr>
              <w:spacing w:after="15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proofErr w:type="spellStart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Russia</w:t>
            </w:r>
            <w:proofErr w:type="spellEnd"/>
          </w:p>
        </w:tc>
      </w:tr>
      <w:tr w:rsidR="00926E8E" w:rsidRPr="00E00FDC" w:rsidTr="00926E8E">
        <w:tc>
          <w:tcPr>
            <w:tcW w:w="4105" w:type="dxa"/>
            <w:hideMark/>
          </w:tcPr>
          <w:p w:rsidR="00926E8E" w:rsidRPr="00E00FDC" w:rsidRDefault="00926E8E" w:rsidP="00926E8E">
            <w:pPr>
              <w:spacing w:after="15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Region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 </w:t>
            </w:r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5  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Asia</w:t>
            </w:r>
            <w:proofErr w:type="spellEnd"/>
          </w:p>
        </w:tc>
        <w:tc>
          <w:tcPr>
            <w:tcW w:w="4106" w:type="dxa"/>
            <w:hideMark/>
          </w:tcPr>
          <w:p w:rsidR="00926E8E" w:rsidRPr="00E00FDC" w:rsidRDefault="00926E8E" w:rsidP="00926E8E">
            <w:pPr>
              <w:spacing w:after="15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Bangladesh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, Bhutan, 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Brunei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, 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Cambodia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China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, DPR 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Korea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, </w:t>
            </w:r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Hong Kong, 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India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Indonesia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, </w:t>
            </w:r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 xml:space="preserve">Japan,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Korea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, </w:t>
            </w:r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Laos</w:t>
            </w:r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Macao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, 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Malaysia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 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Maldives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Mongolia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Myanmar, Nepal, Pakistan,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Philippines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, 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Singapore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, </w:t>
            </w:r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Sri Lanka, 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Taiwan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, 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Thailand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,</w:t>
            </w:r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 </w:t>
            </w:r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Vietnam</w:t>
            </w:r>
          </w:p>
        </w:tc>
      </w:tr>
      <w:tr w:rsidR="00926E8E" w:rsidRPr="00E00FDC" w:rsidTr="00926E8E">
        <w:tc>
          <w:tcPr>
            <w:tcW w:w="4105" w:type="dxa"/>
            <w:hideMark/>
          </w:tcPr>
          <w:p w:rsidR="00926E8E" w:rsidRPr="00E00FDC" w:rsidRDefault="00926E8E" w:rsidP="00926E8E">
            <w:pPr>
              <w:spacing w:after="15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Region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 6  Central</w:t>
            </w:r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 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Asia</w:t>
            </w:r>
            <w:proofErr w:type="spellEnd"/>
          </w:p>
        </w:tc>
        <w:tc>
          <w:tcPr>
            <w:tcW w:w="4106" w:type="dxa"/>
            <w:hideMark/>
          </w:tcPr>
          <w:p w:rsidR="00926E8E" w:rsidRPr="00E00FDC" w:rsidRDefault="00926E8E" w:rsidP="00926E8E">
            <w:pPr>
              <w:spacing w:after="15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Afghanistan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Kazakhstan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Kyrgyzstan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Tajikistan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Turkmenistan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,</w:t>
            </w:r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 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Uzbekistan</w:t>
            </w:r>
            <w:proofErr w:type="spellEnd"/>
          </w:p>
        </w:tc>
      </w:tr>
      <w:tr w:rsidR="00926E8E" w:rsidRPr="00E00FDC" w:rsidTr="00926E8E">
        <w:tc>
          <w:tcPr>
            <w:tcW w:w="4105" w:type="dxa"/>
            <w:hideMark/>
          </w:tcPr>
          <w:p w:rsidR="00926E8E" w:rsidRPr="00E00FDC" w:rsidRDefault="00926E8E" w:rsidP="00926E8E">
            <w:pPr>
              <w:spacing w:after="15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Region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 7 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Middle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 </w:t>
            </w:r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East</w:t>
            </w:r>
          </w:p>
        </w:tc>
        <w:tc>
          <w:tcPr>
            <w:tcW w:w="4106" w:type="dxa"/>
            <w:hideMark/>
          </w:tcPr>
          <w:p w:rsidR="00926E8E" w:rsidRPr="00E00FDC" w:rsidRDefault="00926E8E" w:rsidP="00926E8E">
            <w:pPr>
              <w:spacing w:after="15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proofErr w:type="spellStart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Bahrain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, </w:t>
            </w:r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Iran,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Iraq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, 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Kuwait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 xml:space="preserve">, Oman,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Qatar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Saudi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Arabia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 xml:space="preserve">, United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Arab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Emirates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, </w:t>
            </w:r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Yemen</w:t>
            </w:r>
          </w:p>
        </w:tc>
      </w:tr>
      <w:tr w:rsidR="00926E8E" w:rsidRPr="00E00FDC" w:rsidTr="00926E8E">
        <w:tc>
          <w:tcPr>
            <w:tcW w:w="4105" w:type="dxa"/>
            <w:hideMark/>
          </w:tcPr>
          <w:p w:rsidR="00926E8E" w:rsidRPr="00E00FDC" w:rsidRDefault="00926E8E" w:rsidP="00926E8E">
            <w:pPr>
              <w:spacing w:after="15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Region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 </w:t>
            </w:r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8  Pacific</w:t>
            </w:r>
          </w:p>
        </w:tc>
        <w:tc>
          <w:tcPr>
            <w:tcW w:w="4106" w:type="dxa"/>
            <w:hideMark/>
          </w:tcPr>
          <w:p w:rsidR="00926E8E" w:rsidRPr="00E00FDC" w:rsidRDefault="00926E8E" w:rsidP="00926E8E">
            <w:pPr>
              <w:spacing w:after="15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proofErr w:type="spellStart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Australia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Cook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Islands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, </w:t>
            </w:r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Fiji, Kiribati, Marshall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Islands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Micronesia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, Nauru, </w:t>
            </w:r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 xml:space="preserve">New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Zealand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, </w:t>
            </w:r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Niue, </w:t>
            </w:r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Palau, </w:t>
            </w:r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Papua New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Guinea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Samoa,  Solomon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Islands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, Timor-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Leste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, Tonga, Tuvalu,</w:t>
            </w:r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 </w:t>
            </w:r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Vanuatu</w:t>
            </w:r>
          </w:p>
        </w:tc>
      </w:tr>
      <w:tr w:rsidR="00926E8E" w:rsidRPr="00E00FDC" w:rsidTr="00926E8E">
        <w:tc>
          <w:tcPr>
            <w:tcW w:w="4105" w:type="dxa"/>
            <w:hideMark/>
          </w:tcPr>
          <w:p w:rsidR="00926E8E" w:rsidRPr="00E00FDC" w:rsidRDefault="00926E8E" w:rsidP="00926E8E">
            <w:pPr>
              <w:spacing w:after="15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Region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 </w:t>
            </w:r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9</w:t>
            </w:r>
          </w:p>
          <w:p w:rsidR="00926E8E" w:rsidRPr="00E00FDC" w:rsidRDefault="00926E8E" w:rsidP="00926E8E">
            <w:pPr>
              <w:spacing w:after="15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Sub-Saharan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 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Africa</w:t>
            </w:r>
            <w:proofErr w:type="spellEnd"/>
          </w:p>
        </w:tc>
        <w:tc>
          <w:tcPr>
            <w:tcW w:w="4106" w:type="dxa"/>
            <w:hideMark/>
          </w:tcPr>
          <w:p w:rsidR="00926E8E" w:rsidRPr="00E00FDC" w:rsidRDefault="00926E8E" w:rsidP="00926E8E">
            <w:pPr>
              <w:spacing w:after="15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proofErr w:type="gram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Angola, Benin,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Botswana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Burkina Faso, Burundi,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Cameroon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, Cape Verde, Central 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African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 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Republic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Chad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Comoros,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Congo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Congo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 - 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Democratic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Republic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the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Côte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d’Ivoire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Djibouti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Equatorial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Guinea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Eritrea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, 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Eswatini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, 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Ethiopia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Gabon, Gambia,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Ghana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Guinea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 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Guinea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-Bissau, Kenya, Lesotho,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Liberia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Madagascar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, Malawi, Mali, 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Mauritania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Mauritius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Mozambique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Namibia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Niger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Nigeria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 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Rwanda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 Sao Tome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and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 Principe, Senegal, 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Seychelles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, </w:t>
            </w:r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Sierra Leone,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Somalia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, South 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Africa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 South Sudan, Sudan,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Tanzania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Togo,  Uganda,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Zambia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,</w:t>
            </w:r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 </w:t>
            </w:r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Zimbabwe</w:t>
            </w:r>
            <w:proofErr w:type="gramEnd"/>
          </w:p>
        </w:tc>
      </w:tr>
      <w:tr w:rsidR="00926E8E" w:rsidRPr="00E00FDC" w:rsidTr="00926E8E">
        <w:tc>
          <w:tcPr>
            <w:tcW w:w="4105" w:type="dxa"/>
            <w:hideMark/>
          </w:tcPr>
          <w:p w:rsidR="00926E8E" w:rsidRPr="00E00FDC" w:rsidRDefault="00926E8E" w:rsidP="00926E8E">
            <w:pPr>
              <w:spacing w:after="15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Region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 10  Latin</w:t>
            </w:r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 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America</w:t>
            </w:r>
            <w:proofErr w:type="spellEnd"/>
          </w:p>
        </w:tc>
        <w:tc>
          <w:tcPr>
            <w:tcW w:w="4106" w:type="dxa"/>
            <w:hideMark/>
          </w:tcPr>
          <w:p w:rsidR="00926E8E" w:rsidRPr="00E00FDC" w:rsidRDefault="00926E8E" w:rsidP="00926E8E">
            <w:pPr>
              <w:spacing w:after="15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Argentina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Bolivia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Brazil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, 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Chile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, 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Colombia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Costa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 Rica,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Ecuador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 El Salvador, Guatemala, Honduras,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Mexico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Nicaragua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,</w:t>
            </w:r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 Panama,</w:t>
            </w:r>
          </w:p>
          <w:p w:rsidR="00926E8E" w:rsidRPr="00E00FDC" w:rsidRDefault="00926E8E" w:rsidP="00926E8E">
            <w:pPr>
              <w:spacing w:after="15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Paraguay, Peru, </w:t>
            </w:r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Uruguay, </w:t>
            </w:r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Venezuela</w:t>
            </w:r>
          </w:p>
        </w:tc>
      </w:tr>
      <w:tr w:rsidR="00926E8E" w:rsidRPr="00E00FDC" w:rsidTr="00926E8E">
        <w:tc>
          <w:tcPr>
            <w:tcW w:w="4105" w:type="dxa"/>
            <w:hideMark/>
          </w:tcPr>
          <w:p w:rsidR="00926E8E" w:rsidRPr="00E00FDC" w:rsidRDefault="00926E8E" w:rsidP="00926E8E">
            <w:pPr>
              <w:spacing w:after="15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Region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 </w:t>
            </w:r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11  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Carribean</w:t>
            </w:r>
            <w:proofErr w:type="spellEnd"/>
          </w:p>
        </w:tc>
        <w:tc>
          <w:tcPr>
            <w:tcW w:w="4106" w:type="dxa"/>
            <w:hideMark/>
          </w:tcPr>
          <w:p w:rsidR="00926E8E" w:rsidRPr="00E00FDC" w:rsidRDefault="00926E8E" w:rsidP="00926E8E">
            <w:pPr>
              <w:spacing w:after="15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 xml:space="preserve">Antigua &amp; Barbuda,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Bahamas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, Barbados, </w:t>
            </w:r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Belize,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Cuba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Dominica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Dominican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Republic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, Grenada, Guyana, Haiti, 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Jamaica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, 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St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Kitts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and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  Nevis, 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St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 Lucia,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St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 Vincent &amp;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Grenadines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Suriname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, </w:t>
            </w:r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Trinidad &amp; Tobago</w:t>
            </w:r>
          </w:p>
        </w:tc>
      </w:tr>
      <w:tr w:rsidR="00926E8E" w:rsidRPr="00E00FDC" w:rsidTr="00926E8E">
        <w:tc>
          <w:tcPr>
            <w:tcW w:w="4105" w:type="dxa"/>
            <w:hideMark/>
          </w:tcPr>
          <w:p w:rsidR="00926E8E" w:rsidRPr="00E00FDC" w:rsidRDefault="00926E8E" w:rsidP="00926E8E">
            <w:pPr>
              <w:spacing w:after="15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Region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 12  US &amp;</w:t>
            </w:r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 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  <w:t>Canada</w:t>
            </w:r>
            <w:proofErr w:type="spellEnd"/>
          </w:p>
        </w:tc>
        <w:tc>
          <w:tcPr>
            <w:tcW w:w="4106" w:type="dxa"/>
            <w:hideMark/>
          </w:tcPr>
          <w:p w:rsidR="00926E8E" w:rsidRPr="00E00FDC" w:rsidRDefault="00926E8E" w:rsidP="00926E8E">
            <w:pPr>
              <w:spacing w:after="15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 xml:space="preserve">United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States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America</w:t>
            </w:r>
            <w:proofErr w:type="spellEnd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00FD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Canada</w:t>
            </w:r>
            <w:proofErr w:type="spellEnd"/>
          </w:p>
        </w:tc>
      </w:tr>
    </w:tbl>
    <w:p w:rsidR="00926E8E" w:rsidRPr="00E00FDC" w:rsidRDefault="00926E8E" w:rsidP="00926E8E">
      <w:pPr>
        <w:rPr>
          <w:rFonts w:ascii="Times New Roman" w:hAnsi="Times New Roman" w:cs="Times New Roman"/>
          <w:sz w:val="24"/>
          <w:szCs w:val="24"/>
        </w:rPr>
      </w:pPr>
    </w:p>
    <w:p w:rsidR="00926E8E" w:rsidRPr="00E00FDC" w:rsidRDefault="00926E8E" w:rsidP="00926E8E">
      <w:pPr>
        <w:rPr>
          <w:rStyle w:val="Gl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E00FDC">
        <w:rPr>
          <w:rStyle w:val="Gl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Not: </w:t>
      </w:r>
      <w:proofErr w:type="spellStart"/>
      <w:r w:rsidRPr="00E00FDC">
        <w:rPr>
          <w:rStyle w:val="Gl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Bold</w:t>
      </w:r>
      <w:proofErr w:type="spellEnd"/>
      <w:r w:rsidRPr="00E00FDC">
        <w:rPr>
          <w:rStyle w:val="Gl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olarak işaretlenmiş ülkelerde lisans ve yüksek lisans düzeyinde öğrenci değişimini amaçlayan projeler yapılamamakta, ancak doktora düzeyinde öğrenci değişimi gerçekleştirilebilmektedir.</w:t>
      </w:r>
    </w:p>
    <w:p w:rsidR="00926E8E" w:rsidRPr="00E00FDC" w:rsidRDefault="00926E8E" w:rsidP="00926E8E">
      <w:pPr>
        <w:rPr>
          <w:rStyle w:val="Gl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8455D0" w:rsidRPr="00E00FDC" w:rsidRDefault="008455D0" w:rsidP="00926E8E">
      <w:pPr>
        <w:pStyle w:val="NormalWeb"/>
        <w:shd w:val="clear" w:color="auto" w:fill="FFFFFF"/>
        <w:spacing w:before="0" w:beforeAutospacing="0" w:after="150" w:afterAutospacing="0"/>
        <w:rPr>
          <w:color w:val="666666"/>
        </w:rPr>
      </w:pPr>
      <w:r w:rsidRPr="00E00FDC">
        <w:rPr>
          <w:color w:val="666666"/>
        </w:rPr>
        <w:t xml:space="preserve">Avrupa Komisyonu Proje başvuru formlarını açtıktan sonra başvuru yapılabilecek olup, son tarih olarak Şubat ayı belirlenmektedir. </w:t>
      </w:r>
    </w:p>
    <w:p w:rsidR="00926E8E" w:rsidRPr="00E00FDC" w:rsidRDefault="00926E8E" w:rsidP="00926E8E">
      <w:pPr>
        <w:pStyle w:val="NormalWeb"/>
        <w:shd w:val="clear" w:color="auto" w:fill="FFFFFF"/>
        <w:spacing w:before="0" w:beforeAutospacing="0" w:after="150" w:afterAutospacing="0"/>
        <w:rPr>
          <w:color w:val="666666"/>
        </w:rPr>
      </w:pPr>
      <w:proofErr w:type="spellStart"/>
      <w:r w:rsidRPr="00E00FDC">
        <w:rPr>
          <w:color w:val="666666"/>
        </w:rPr>
        <w:t>Erasmus</w:t>
      </w:r>
      <w:proofErr w:type="spellEnd"/>
      <w:r w:rsidRPr="00E00FDC">
        <w:rPr>
          <w:color w:val="666666"/>
        </w:rPr>
        <w:t xml:space="preserve">+ kapsamında </w:t>
      </w:r>
      <w:proofErr w:type="spellStart"/>
      <w:r w:rsidRPr="00E00FDC">
        <w:rPr>
          <w:color w:val="666666"/>
        </w:rPr>
        <w:t>Erasmus</w:t>
      </w:r>
      <w:proofErr w:type="spellEnd"/>
      <w:r w:rsidRPr="00E00FDC">
        <w:rPr>
          <w:color w:val="666666"/>
        </w:rPr>
        <w:t xml:space="preserve"> program ülkelerinden ortak ülkelere (Avrupa Birliği Dışındaki Ülkeler) öğrenci/personel hareketliliği gerçekleştirmek amacıyla "Erasmus+KA171 Uluslararası Kredi </w:t>
      </w:r>
      <w:proofErr w:type="spellStart"/>
      <w:r w:rsidRPr="00E00FDC">
        <w:rPr>
          <w:color w:val="666666"/>
        </w:rPr>
        <w:t>Hareketliliği"ne</w:t>
      </w:r>
      <w:proofErr w:type="spellEnd"/>
      <w:r w:rsidRPr="00E00FDC">
        <w:rPr>
          <w:color w:val="666666"/>
        </w:rPr>
        <w:t xml:space="preserve"> başvuruda bulunmak isteyen akademik birimlerin </w:t>
      </w:r>
      <w:r w:rsidR="008455D0" w:rsidRPr="00E00FDC">
        <w:rPr>
          <w:color w:val="666666"/>
        </w:rPr>
        <w:t>ekte</w:t>
      </w:r>
      <w:r w:rsidRPr="00E00FDC">
        <w:rPr>
          <w:color w:val="666666"/>
        </w:rPr>
        <w:t xml:space="preserve"> yer alan "</w:t>
      </w:r>
      <w:r w:rsidRPr="00E00FDC">
        <w:rPr>
          <w:rStyle w:val="Gl"/>
          <w:color w:val="555555"/>
        </w:rPr>
        <w:t xml:space="preserve">proje yazım süreci hazırlık </w:t>
      </w:r>
      <w:proofErr w:type="spellStart"/>
      <w:r w:rsidRPr="00E00FDC">
        <w:rPr>
          <w:rStyle w:val="Gl"/>
          <w:color w:val="555555"/>
        </w:rPr>
        <w:t>formu</w:t>
      </w:r>
      <w:r w:rsidRPr="00E00FDC">
        <w:rPr>
          <w:color w:val="666666"/>
        </w:rPr>
        <w:t>"nu</w:t>
      </w:r>
      <w:proofErr w:type="spellEnd"/>
      <w:r w:rsidRPr="00E00FDC">
        <w:rPr>
          <w:color w:val="666666"/>
        </w:rPr>
        <w:t xml:space="preserve"> doldurup, aynı zamanda "</w:t>
      </w:r>
      <w:r w:rsidRPr="00E00FDC">
        <w:rPr>
          <w:rStyle w:val="Gl"/>
          <w:color w:val="555555"/>
        </w:rPr>
        <w:t xml:space="preserve">ortak kurum bilgi </w:t>
      </w:r>
      <w:proofErr w:type="spellStart"/>
      <w:r w:rsidRPr="00E00FDC">
        <w:rPr>
          <w:rStyle w:val="Gl"/>
          <w:color w:val="555555"/>
        </w:rPr>
        <w:t>formu</w:t>
      </w:r>
      <w:r w:rsidRPr="00E00FDC">
        <w:rPr>
          <w:color w:val="666666"/>
        </w:rPr>
        <w:t>"nun</w:t>
      </w:r>
      <w:proofErr w:type="spellEnd"/>
      <w:r w:rsidRPr="00E00FDC">
        <w:rPr>
          <w:color w:val="666666"/>
        </w:rPr>
        <w:t xml:space="preserve"> </w:t>
      </w:r>
      <w:proofErr w:type="gramStart"/>
      <w:r w:rsidRPr="00E00FDC">
        <w:rPr>
          <w:color w:val="666666"/>
        </w:rPr>
        <w:t>partner</w:t>
      </w:r>
      <w:proofErr w:type="gramEnd"/>
      <w:r w:rsidRPr="00E00FDC">
        <w:rPr>
          <w:color w:val="666666"/>
        </w:rPr>
        <w:t xml:space="preserve"> kurumları tarafından doldurulmasını sağlayarak her iki formu </w:t>
      </w:r>
      <w:r w:rsidR="008455D0" w:rsidRPr="00E00FDC">
        <w:rPr>
          <w:rStyle w:val="Gl"/>
          <w:color w:val="555555"/>
        </w:rPr>
        <w:t>20 Ocak 2025</w:t>
      </w:r>
      <w:r w:rsidRPr="00E00FDC">
        <w:rPr>
          <w:color w:val="666666"/>
        </w:rPr>
        <w:t> tarihine kadar ofisimize </w:t>
      </w:r>
      <w:r w:rsidR="008455D0" w:rsidRPr="00E00FDC">
        <w:rPr>
          <w:rStyle w:val="Gl"/>
          <w:color w:val="555555"/>
        </w:rPr>
        <w:t>bksaglam@ktu</w:t>
      </w:r>
      <w:r w:rsidRPr="00E00FDC">
        <w:rPr>
          <w:rStyle w:val="Gl"/>
          <w:color w:val="555555"/>
        </w:rPr>
        <w:t>.edu.tr</w:t>
      </w:r>
      <w:r w:rsidRPr="00E00FDC">
        <w:rPr>
          <w:color w:val="666666"/>
        </w:rPr>
        <w:t> adresi üzerinden iletmesi gerekmektedir.</w:t>
      </w:r>
    </w:p>
    <w:p w:rsidR="00926E8E" w:rsidRPr="00E00FDC" w:rsidRDefault="008455D0" w:rsidP="00926E8E">
      <w:pPr>
        <w:pStyle w:val="NormalWeb"/>
        <w:shd w:val="clear" w:color="auto" w:fill="FFFFFF"/>
        <w:spacing w:before="0" w:beforeAutospacing="0" w:after="150" w:afterAutospacing="0"/>
        <w:rPr>
          <w:color w:val="666666"/>
        </w:rPr>
      </w:pPr>
      <w:r w:rsidRPr="00E00FDC">
        <w:rPr>
          <w:color w:val="666666"/>
        </w:rPr>
        <w:t>Erasmus+KA171 hakkında rehber, sunum</w:t>
      </w:r>
      <w:r w:rsidR="00926E8E" w:rsidRPr="00E00FDC">
        <w:rPr>
          <w:color w:val="666666"/>
        </w:rPr>
        <w:t xml:space="preserve"> ve başvuruyla ilgili formları </w:t>
      </w:r>
      <w:r w:rsidRPr="00E00FDC">
        <w:rPr>
          <w:color w:val="666666"/>
        </w:rPr>
        <w:t xml:space="preserve">ekte </w:t>
      </w:r>
      <w:r w:rsidR="00926E8E" w:rsidRPr="00E00FDC">
        <w:rPr>
          <w:color w:val="666666"/>
        </w:rPr>
        <w:t>bulabilirsiniz.</w:t>
      </w:r>
    </w:p>
    <w:p w:rsidR="00926E8E" w:rsidRPr="00E00FDC" w:rsidRDefault="00926E8E" w:rsidP="00926E8E">
      <w:pPr>
        <w:rPr>
          <w:rFonts w:ascii="Times New Roman" w:hAnsi="Times New Roman" w:cs="Times New Roman"/>
          <w:sz w:val="24"/>
          <w:szCs w:val="24"/>
        </w:rPr>
      </w:pPr>
    </w:p>
    <w:sectPr w:rsidR="00926E8E" w:rsidRPr="00E00FDC" w:rsidSect="00CA5388">
      <w:pgSz w:w="11906" w:h="16838"/>
      <w:pgMar w:top="1701" w:right="1417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8E"/>
    <w:rsid w:val="00074397"/>
    <w:rsid w:val="008455D0"/>
    <w:rsid w:val="00926E8E"/>
    <w:rsid w:val="00953E0A"/>
    <w:rsid w:val="009A08B0"/>
    <w:rsid w:val="00B3429D"/>
    <w:rsid w:val="00B7528E"/>
    <w:rsid w:val="00CA5388"/>
    <w:rsid w:val="00D4787F"/>
    <w:rsid w:val="00E0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4EF4D-D308-4A71-ACF7-997C16D9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26E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erasmus-betul</dc:creator>
  <cp:keywords/>
  <dc:description/>
  <cp:lastModifiedBy>erasmus-betul</cp:lastModifiedBy>
  <cp:revision>7</cp:revision>
  <dcterms:created xsi:type="dcterms:W3CDTF">2024-11-27T10:17:00Z</dcterms:created>
  <dcterms:modified xsi:type="dcterms:W3CDTF">2024-11-28T13:14:00Z</dcterms:modified>
</cp:coreProperties>
</file>