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C4" w:rsidRDefault="008077C4" w:rsidP="008077C4">
      <w:pPr>
        <w:spacing w:after="216" w:line="259" w:lineRule="auto"/>
        <w:ind w:firstLine="0"/>
        <w:jc w:val="left"/>
        <w:rPr>
          <w:b/>
        </w:rPr>
      </w:pPr>
      <w:bookmarkStart w:id="0" w:name="_GoBack"/>
      <w:bookmarkEnd w:id="0"/>
    </w:p>
    <w:p w:rsidR="008077C4" w:rsidRDefault="008077C4" w:rsidP="008077C4">
      <w:pPr>
        <w:spacing w:after="216" w:line="259" w:lineRule="auto"/>
        <w:ind w:firstLine="0"/>
        <w:jc w:val="left"/>
        <w:rPr>
          <w:b/>
        </w:rPr>
      </w:pPr>
      <w:r>
        <w:rPr>
          <w:b/>
        </w:rPr>
        <w:t xml:space="preserve">         </w:t>
      </w:r>
      <w:r w:rsidRPr="00306110">
        <w:rPr>
          <w:b/>
        </w:rPr>
        <w:t>PRINCIPLES REGARDING THE ACCEPTANCE OF STUDENTS FROM ABROAD</w:t>
      </w:r>
    </w:p>
    <w:p w:rsidR="008077C4" w:rsidRPr="00322AD2" w:rsidRDefault="008077C4" w:rsidP="008077C4">
      <w:pPr>
        <w:spacing w:after="216" w:line="259" w:lineRule="auto"/>
        <w:ind w:firstLine="0"/>
        <w:jc w:val="left"/>
        <w:rPr>
          <w:b/>
        </w:rPr>
      </w:pPr>
      <w:r>
        <w:t xml:space="preserve">            </w:t>
      </w:r>
      <w:r w:rsidRPr="00322AD2">
        <w:rPr>
          <w:b/>
        </w:rPr>
        <w:t xml:space="preserve">      A- General Principles:</w:t>
      </w:r>
    </w:p>
    <w:p w:rsidR="008077C4" w:rsidRDefault="008077C4" w:rsidP="0032458B">
      <w:pPr>
        <w:pStyle w:val="ListeParagraf"/>
        <w:numPr>
          <w:ilvl w:val="0"/>
          <w:numId w:val="1"/>
        </w:numPr>
        <w:spacing w:after="216" w:line="259" w:lineRule="auto"/>
      </w:pPr>
      <w:r>
        <w:t>In accordance with Article 14/f of the Law No. 6287 published in the Official Gazette No. 28261 dated 11.04.2012, the Higher Education Council of universities wishing to accept students from abroad accepting students from abroad with its approval,</w:t>
      </w:r>
    </w:p>
    <w:p w:rsidR="0032458B" w:rsidRDefault="0032458B" w:rsidP="0032458B">
      <w:pPr>
        <w:pStyle w:val="ListeParagraf"/>
        <w:spacing w:after="216" w:line="259" w:lineRule="auto"/>
        <w:ind w:firstLine="0"/>
      </w:pPr>
    </w:p>
    <w:p w:rsidR="008077C4" w:rsidRDefault="008077C4" w:rsidP="0032458B">
      <w:pPr>
        <w:pStyle w:val="ListeParagraf"/>
        <w:numPr>
          <w:ilvl w:val="0"/>
          <w:numId w:val="1"/>
        </w:numPr>
        <w:spacing w:after="216" w:line="259" w:lineRule="auto"/>
      </w:pPr>
      <w:r w:rsidRPr="00C83A4F">
        <w:t>a) Collecting the quota suggestions of higher education institutions that will accept students from abroad by the Council of Higher Education within the framework of the determined calendar,</w:t>
      </w:r>
    </w:p>
    <w:p w:rsidR="008077C4" w:rsidRDefault="008077C4" w:rsidP="0032458B">
      <w:pPr>
        <w:pStyle w:val="ListeParagraf"/>
        <w:spacing w:after="216" w:line="259" w:lineRule="auto"/>
        <w:ind w:firstLine="0"/>
      </w:pPr>
    </w:p>
    <w:p w:rsidR="008077C4" w:rsidRDefault="008077C4" w:rsidP="0032458B">
      <w:pPr>
        <w:pStyle w:val="ListeParagraf"/>
        <w:spacing w:after="216" w:line="259" w:lineRule="auto"/>
        <w:ind w:firstLine="0"/>
      </w:pPr>
      <w:proofErr w:type="gramStart"/>
      <w:r w:rsidRPr="00D74242">
        <w:t>b) Receiving the proposals from the universities within the framework of the programs in the Higher Education Council Examination Higher Education Programs and Quotas Guide of the previous year until the date determined by the Council of Higher Education for the quotas for accepting students from abroad before each education and training period, evaluating and making a decision by the Council of Higher Education, evaluating the quotas for accepting students from abroad if recommended together with the Higher Education Council Examination quotas for programs that accept students for the first time, and not including programs that accept students for the first time during the Higher Education Council Examination Additional Placement procedures,</w:t>
      </w:r>
      <w:proofErr w:type="gramEnd"/>
    </w:p>
    <w:p w:rsidR="008077C4" w:rsidRDefault="008077C4" w:rsidP="0032458B">
      <w:pPr>
        <w:pStyle w:val="ListeParagraf"/>
        <w:spacing w:after="216" w:line="259" w:lineRule="auto"/>
        <w:ind w:firstLine="0"/>
      </w:pPr>
    </w:p>
    <w:p w:rsidR="008077C4" w:rsidRDefault="008077C4" w:rsidP="0032458B">
      <w:pPr>
        <w:pStyle w:val="ListeParagraf"/>
        <w:spacing w:after="216" w:line="259" w:lineRule="auto"/>
        <w:ind w:firstLine="0"/>
      </w:pPr>
      <w:proofErr w:type="gramStart"/>
      <w:r w:rsidRPr="00513D81">
        <w:t xml:space="preserve">c) Those who have the opportunity to apply for international student admission quotas in accordance with Article 45/f of the Higher Education Law No. 2547, as amended by Law No. 6287, and the Principles Regarding the Admission of Students from Abroad determined by the Council of Higher Education, are Turkish citizens by birth in accordance with the Turkish Citizenship Law, but are deprived of Turkish citizenship by the Ministry of Internal Affairs. Candidates who lost their Turkish citizenship by obtaining a leave of absence, candidates who prove that they have a blue card, which is given upon request to those who lose Turkish citizenship, and candidates who have completed their entire high school education in high schools abroad (except for the high schools of the Turkish Republic of Northern Cyprus) and candidates who have dual citizenship and one of whom is Turkish nationality, are determined by the universities. </w:t>
      </w:r>
      <w:proofErr w:type="gramEnd"/>
      <w:r w:rsidRPr="00513D81">
        <w:t>Continuation of the practice of applying for international student admission quotas within the framework of the criteria, also;</w:t>
      </w:r>
    </w:p>
    <w:p w:rsidR="008077C4" w:rsidRDefault="008077C4" w:rsidP="0032458B">
      <w:pPr>
        <w:pStyle w:val="ListeParagraf"/>
        <w:spacing w:after="216" w:line="259" w:lineRule="auto"/>
        <w:ind w:firstLine="0"/>
      </w:pPr>
    </w:p>
    <w:p w:rsidR="008077C4" w:rsidRDefault="008077C4" w:rsidP="0032458B">
      <w:pPr>
        <w:pStyle w:val="ListeParagraf"/>
        <w:spacing w:after="216" w:line="259" w:lineRule="auto"/>
        <w:ind w:firstLine="0"/>
      </w:pPr>
      <w:r>
        <w:t>i) Teaching, Law, Medicine, Dentistry and Teaching, which are included in the international student admission quotas recommended by higher education institutions and determined by the Council of Higher Education.</w:t>
      </w:r>
    </w:p>
    <w:p w:rsidR="008077C4" w:rsidRDefault="008077C4" w:rsidP="0032458B">
      <w:pPr>
        <w:pStyle w:val="ListeParagraf"/>
        <w:spacing w:after="216" w:line="259" w:lineRule="auto"/>
        <w:ind w:firstLine="0"/>
      </w:pPr>
      <w:r>
        <w:t>Continuing to determine the student quota for pharmacy programs, ii) However, not exceeding 10% of the quota in the mentioned fields for these candidates, specific to these programs,</w:t>
      </w:r>
    </w:p>
    <w:p w:rsidR="008077C4" w:rsidRDefault="008077C4" w:rsidP="0032458B">
      <w:pPr>
        <w:pStyle w:val="ListeParagraf"/>
        <w:spacing w:after="216" w:line="259" w:lineRule="auto"/>
        <w:ind w:firstLine="0"/>
      </w:pPr>
    </w:p>
    <w:p w:rsidR="008077C4" w:rsidRDefault="008077C4" w:rsidP="0032458B">
      <w:pPr>
        <w:pStyle w:val="ListeParagraf"/>
        <w:spacing w:after="216" w:line="259" w:lineRule="auto"/>
        <w:ind w:firstLine="0"/>
      </w:pPr>
      <w:r w:rsidRPr="00C20BE7">
        <w:t>d) Publication of information regarding the quotas of the programs in question, the language of instruction, and the preparatory class on the website of the Council of Higher Education,</w:t>
      </w:r>
    </w:p>
    <w:p w:rsidR="008077C4" w:rsidRDefault="008077C4" w:rsidP="0032458B">
      <w:pPr>
        <w:pStyle w:val="ListeParagraf"/>
        <w:spacing w:after="216" w:line="259" w:lineRule="auto"/>
        <w:ind w:firstLine="0"/>
      </w:pPr>
    </w:p>
    <w:p w:rsidR="008077C4" w:rsidRDefault="008077C4" w:rsidP="0032458B">
      <w:pPr>
        <w:pStyle w:val="ListeParagraf"/>
        <w:spacing w:after="216" w:line="259" w:lineRule="auto"/>
        <w:ind w:firstLine="0"/>
      </w:pPr>
      <w:r w:rsidRPr="00105B19">
        <w:t>e) Announcement by universities of the tuition fee, health report, etc. conditions of higher education programs,</w:t>
      </w:r>
    </w:p>
    <w:p w:rsidR="008077C4" w:rsidRDefault="008077C4" w:rsidP="0032458B">
      <w:pPr>
        <w:pStyle w:val="ListeParagraf"/>
        <w:spacing w:after="216" w:line="259" w:lineRule="auto"/>
        <w:ind w:firstLine="0"/>
      </w:pPr>
    </w:p>
    <w:p w:rsidR="008077C4" w:rsidRDefault="008077C4" w:rsidP="0032458B">
      <w:pPr>
        <w:pStyle w:val="ListeParagraf"/>
        <w:spacing w:after="216" w:line="259" w:lineRule="auto"/>
        <w:ind w:firstLine="0"/>
      </w:pPr>
    </w:p>
    <w:p w:rsidR="008077C4" w:rsidRDefault="008077C4" w:rsidP="0032458B">
      <w:pPr>
        <w:pStyle w:val="ListeParagraf"/>
        <w:numPr>
          <w:ilvl w:val="0"/>
          <w:numId w:val="1"/>
        </w:numPr>
        <w:spacing w:after="0" w:line="259" w:lineRule="auto"/>
      </w:pPr>
      <w:r w:rsidRPr="00CD7897">
        <w:lastRenderedPageBreak/>
        <w:t xml:space="preserve">Allocating quotas for primary education, evening education, distance education and open education programs of universities wishing to accept foreign students, and not allocating quotas for programs affiliated with the Vocational and Technical Education Zone (education and </w:t>
      </w:r>
      <w:proofErr w:type="gramStart"/>
      <w:r w:rsidRPr="00CD7897">
        <w:t>training ...</w:t>
      </w:r>
      <w:proofErr w:type="gramEnd"/>
      <w:r w:rsidRPr="00CD7897">
        <w:t xml:space="preserve"> Industrial Vocational High School, etc.).</w:t>
      </w:r>
    </w:p>
    <w:p w:rsidR="008077C4" w:rsidRDefault="008077C4" w:rsidP="0032458B">
      <w:pPr>
        <w:spacing w:after="0" w:line="259" w:lineRule="auto"/>
      </w:pPr>
    </w:p>
    <w:p w:rsidR="00A332CC" w:rsidRDefault="008077C4" w:rsidP="0032458B">
      <w:pPr>
        <w:pStyle w:val="ListeParagraf"/>
        <w:numPr>
          <w:ilvl w:val="0"/>
          <w:numId w:val="1"/>
        </w:numPr>
        <w:spacing w:after="0" w:line="259" w:lineRule="auto"/>
      </w:pPr>
      <w:proofErr w:type="gramStart"/>
      <w:r w:rsidRPr="00A75831">
        <w:t>Among the exams approved by the Council of Higher Education and recommended to be used by universities in accepting foreign students in the evaluation of student applications when accepting students from abroad; There is no limit to the validity periods of exams that have the status of high school graduation exams (Abitur, International Baccalaureate, GCE, Tawjihi, etc.), but the validity periods of exams that have the status of university entrance exams (SAT, etc.) are limited to two years,</w:t>
      </w:r>
      <w:proofErr w:type="gramEnd"/>
    </w:p>
    <w:p w:rsidR="00A332CC" w:rsidRDefault="00A332CC" w:rsidP="0032458B">
      <w:pPr>
        <w:pStyle w:val="ListeParagraf"/>
      </w:pPr>
    </w:p>
    <w:p w:rsidR="00A332CC" w:rsidRDefault="00A332CC" w:rsidP="0032458B">
      <w:pPr>
        <w:pStyle w:val="ListeParagraf"/>
        <w:numPr>
          <w:ilvl w:val="0"/>
          <w:numId w:val="1"/>
        </w:numPr>
        <w:spacing w:after="0" w:line="259" w:lineRule="auto"/>
      </w:pPr>
      <w:proofErr w:type="gramStart"/>
      <w:r w:rsidRPr="00292015">
        <w:t>Accepting the applications of those who are TRNC citizens, reside in TRNC, have completed their secondary education (high school) in TRNC and have GCE AL exam results, and those who have/will have GCE AL exam results after registering and receiving education in colleges and high schools in other countries between 2005-2010, or those who are TRNC citizens and have completed their entire secondary education (high school) in a foreign country and have TR-YÖS results,</w:t>
      </w:r>
      <w:proofErr w:type="gramEnd"/>
    </w:p>
    <w:p w:rsidR="008077C4" w:rsidRDefault="008077C4" w:rsidP="0032458B">
      <w:pPr>
        <w:spacing w:after="0" w:line="259" w:lineRule="auto"/>
      </w:pPr>
    </w:p>
    <w:p w:rsidR="008077C4" w:rsidRDefault="008077C4" w:rsidP="0032458B">
      <w:pPr>
        <w:pStyle w:val="ListeParagraf"/>
        <w:numPr>
          <w:ilvl w:val="0"/>
          <w:numId w:val="1"/>
        </w:numPr>
        <w:spacing w:after="0" w:line="259" w:lineRule="auto"/>
      </w:pPr>
      <w:r w:rsidRPr="00556BA7">
        <w:t>Determination of the minimum and maximum amount of tuition fees to be collected each year from international students admitted to public universities without exception, by the Presidential Decree,</w:t>
      </w:r>
    </w:p>
    <w:p w:rsidR="008077C4" w:rsidRDefault="008077C4" w:rsidP="0032458B">
      <w:pPr>
        <w:spacing w:after="0" w:line="259" w:lineRule="auto"/>
        <w:ind w:firstLine="0"/>
      </w:pPr>
    </w:p>
    <w:p w:rsidR="008077C4" w:rsidRDefault="008077C4" w:rsidP="0032458B">
      <w:pPr>
        <w:pStyle w:val="ListeParagraf"/>
        <w:numPr>
          <w:ilvl w:val="0"/>
          <w:numId w:val="1"/>
        </w:numPr>
        <w:spacing w:after="0" w:line="259" w:lineRule="auto"/>
      </w:pPr>
      <w:r w:rsidRPr="00234E50">
        <w:t>The tuition fee to be collected from international students who will be accepted to foundation higher education institutions is determined by the authorized boards of higher education institutions, as in previous years,</w:t>
      </w:r>
    </w:p>
    <w:p w:rsidR="008077C4" w:rsidRDefault="008077C4" w:rsidP="0032458B">
      <w:pPr>
        <w:pStyle w:val="ListeParagraf"/>
      </w:pPr>
    </w:p>
    <w:p w:rsidR="008077C4" w:rsidRDefault="008077C4" w:rsidP="0032458B">
      <w:pPr>
        <w:pStyle w:val="ListeParagraf"/>
        <w:numPr>
          <w:ilvl w:val="0"/>
          <w:numId w:val="1"/>
        </w:numPr>
        <w:spacing w:after="0" w:line="259" w:lineRule="auto"/>
      </w:pPr>
      <w:r>
        <w:t>If there is no application for the quota of the program that will accept students from abroad or the quota is not filled, the quotas that are not filled and/or for which there are no applications;</w:t>
      </w:r>
    </w:p>
    <w:p w:rsidR="008077C4" w:rsidRDefault="008077C4" w:rsidP="0032458B">
      <w:pPr>
        <w:spacing w:after="0" w:line="259" w:lineRule="auto"/>
        <w:ind w:firstLine="0"/>
      </w:pPr>
    </w:p>
    <w:p w:rsidR="008077C4" w:rsidRDefault="008077C4" w:rsidP="0032458B">
      <w:pPr>
        <w:pStyle w:val="ListeParagraf"/>
        <w:numPr>
          <w:ilvl w:val="0"/>
          <w:numId w:val="2"/>
        </w:numPr>
        <w:spacing w:after="0" w:line="259" w:lineRule="auto"/>
      </w:pPr>
      <w:r>
        <w:t>Failure to transfer to Dentistry, Pharmacy, Law, Teaching and Medicine programs,</w:t>
      </w:r>
    </w:p>
    <w:p w:rsidR="008077C4" w:rsidRDefault="008077C4" w:rsidP="0032458B">
      <w:pPr>
        <w:pStyle w:val="ListeParagraf"/>
        <w:spacing w:after="0" w:line="259" w:lineRule="auto"/>
        <w:ind w:left="1050" w:firstLine="0"/>
      </w:pPr>
    </w:p>
    <w:p w:rsidR="008077C4" w:rsidRDefault="008077C4" w:rsidP="0032458B">
      <w:pPr>
        <w:pStyle w:val="ListeParagraf"/>
        <w:numPr>
          <w:ilvl w:val="0"/>
          <w:numId w:val="2"/>
        </w:numPr>
        <w:spacing w:after="0" w:line="259" w:lineRule="auto"/>
      </w:pPr>
      <w:r>
        <w:t>For other programs, quota transfers can be made by the relevant boards of universities within the relevant faculty / college / Vocational School programs where the program is located,</w:t>
      </w:r>
    </w:p>
    <w:p w:rsidR="008077C4" w:rsidRDefault="008077C4" w:rsidP="0032458B">
      <w:pPr>
        <w:pStyle w:val="ListeParagraf"/>
      </w:pPr>
    </w:p>
    <w:p w:rsidR="008077C4" w:rsidRDefault="008077C4" w:rsidP="0032458B">
      <w:pPr>
        <w:spacing w:after="0" w:line="259" w:lineRule="auto"/>
        <w:ind w:firstLine="0"/>
        <w:rPr>
          <w:b/>
        </w:rPr>
      </w:pPr>
      <w:r>
        <w:rPr>
          <w:b/>
        </w:rPr>
        <w:t xml:space="preserve">                  </w:t>
      </w:r>
      <w:r w:rsidRPr="00322AD2">
        <w:rPr>
          <w:b/>
        </w:rPr>
        <w:t>B- Candidates to Apply:</w:t>
      </w:r>
    </w:p>
    <w:p w:rsidR="008077C4" w:rsidRDefault="008077C4" w:rsidP="0032458B">
      <w:pPr>
        <w:spacing w:after="0" w:line="259" w:lineRule="auto"/>
        <w:ind w:firstLine="0"/>
        <w:rPr>
          <w:b/>
        </w:rPr>
      </w:pPr>
    </w:p>
    <w:p w:rsidR="008077C4" w:rsidRPr="008C17C7" w:rsidRDefault="008077C4" w:rsidP="0032458B">
      <w:pPr>
        <w:pStyle w:val="ListeParagraf"/>
        <w:numPr>
          <w:ilvl w:val="0"/>
          <w:numId w:val="3"/>
        </w:numPr>
        <w:spacing w:after="0" w:line="259" w:lineRule="auto"/>
        <w:rPr>
          <w:b/>
        </w:rPr>
      </w:pPr>
      <w:r w:rsidRPr="008C17C7">
        <w:rPr>
          <w:b/>
        </w:rPr>
        <w:t>Provided that they are in their final year of high school or have graduated;</w:t>
      </w:r>
    </w:p>
    <w:p w:rsidR="008077C4" w:rsidRDefault="008077C4" w:rsidP="0032458B">
      <w:pPr>
        <w:spacing w:after="0" w:line="259" w:lineRule="auto"/>
        <w:ind w:left="750" w:firstLine="0"/>
      </w:pPr>
    </w:p>
    <w:p w:rsidR="00844BFB" w:rsidRDefault="008077C4" w:rsidP="0032458B">
      <w:pPr>
        <w:pStyle w:val="ListeParagraf"/>
        <w:numPr>
          <w:ilvl w:val="0"/>
          <w:numId w:val="4"/>
        </w:numPr>
        <w:spacing w:after="0" w:line="259" w:lineRule="auto"/>
      </w:pPr>
      <w:r w:rsidRPr="0001603D">
        <w:t>Foreign nationals, (provided that those who are studying in secondary education institutions in Türkiye have registered before the 2022-2023 academic year [Embassy schools, international private education institutions included in the International Schools Information Operating System, and those who are educated in secondary education institutions in Türkiye can be transferred to our country within the framework of the project carried out by the Ministry of National Education. except foreign nationals brought in])</w:t>
      </w:r>
    </w:p>
    <w:p w:rsidR="00844BFB" w:rsidRDefault="00844BFB" w:rsidP="0032458B">
      <w:pPr>
        <w:pStyle w:val="ListeParagraf"/>
        <w:spacing w:after="0" w:line="259" w:lineRule="auto"/>
        <w:ind w:left="1140" w:firstLine="0"/>
      </w:pPr>
    </w:p>
    <w:p w:rsidR="00844BFB" w:rsidRDefault="00844BFB" w:rsidP="0032458B">
      <w:pPr>
        <w:pStyle w:val="ListeParagraf"/>
        <w:numPr>
          <w:ilvl w:val="0"/>
          <w:numId w:val="4"/>
        </w:numPr>
        <w:spacing w:after="0" w:line="259" w:lineRule="auto"/>
      </w:pPr>
      <w:proofErr w:type="gramStart"/>
      <w:r w:rsidRPr="00292015">
        <w:t xml:space="preserve">Those who are TRNC citizens (except those who have completed their entire secondary education (high school) in TRNC high schools and have GCE AL exam results, those who have/will have GCE AL exam results by registering and receiving education in colleges and high schools in other countries between 2005-2010, or those who are TRNC citizens </w:t>
      </w:r>
      <w:r w:rsidRPr="00292015">
        <w:lastRenderedPageBreak/>
        <w:t>and have completed their entire secondary education (high school) in a foreign country and have TR-YÖS results),</w:t>
      </w:r>
      <w:proofErr w:type="gramEnd"/>
    </w:p>
    <w:p w:rsidR="008077C4" w:rsidRDefault="008077C4" w:rsidP="0032458B">
      <w:pPr>
        <w:pStyle w:val="ListeParagraf"/>
      </w:pPr>
    </w:p>
    <w:p w:rsidR="008077C4" w:rsidRDefault="008077C4" w:rsidP="0032458B">
      <w:pPr>
        <w:pStyle w:val="ListeParagraf"/>
        <w:numPr>
          <w:ilvl w:val="0"/>
          <w:numId w:val="4"/>
        </w:numPr>
        <w:spacing w:after="0" w:line="259" w:lineRule="auto"/>
      </w:pPr>
      <w:r w:rsidRPr="005F43EA">
        <w:t>Those who were foreign nationals and became Turkish citizens through acquired citizenship later / those who have dual citizenship in this situation (provided that those studying in secondary education institutions in Türkiye have registered before the 2022-2023 academic year)</w:t>
      </w:r>
    </w:p>
    <w:p w:rsidR="008077C4" w:rsidRDefault="008077C4" w:rsidP="0032458B">
      <w:pPr>
        <w:pStyle w:val="ListeParagraf"/>
      </w:pPr>
    </w:p>
    <w:p w:rsidR="00844BFB" w:rsidRDefault="00844BFB" w:rsidP="0032458B">
      <w:pPr>
        <w:pStyle w:val="ListeParagraf"/>
        <w:numPr>
          <w:ilvl w:val="0"/>
          <w:numId w:val="4"/>
        </w:numPr>
      </w:pPr>
      <w:proofErr w:type="gramStart"/>
      <w:r w:rsidRPr="00E95B51">
        <w:t>Dual citizens, one of whos</w:t>
      </w:r>
      <w:r>
        <w:t>e nationality is TRNC (except</w:t>
      </w:r>
      <w:r w:rsidRPr="00E95B51">
        <w:t xml:space="preserve"> those who completed their entire secondary education (high school) in TRNC high schools and have GCE AL exam results, those who registered and received education in colleges and high schools in other countries between 2005-2010 and have/will have GCE AL exam results, or those who are TRNC citizens and completed their entire secondary education (high school) in a foreign country and have TR-YÖS results),</w:t>
      </w:r>
      <w:proofErr w:type="gramEnd"/>
    </w:p>
    <w:p w:rsidR="00844BFB" w:rsidRDefault="00844BFB" w:rsidP="0032458B">
      <w:pPr>
        <w:pStyle w:val="ListeParagraf"/>
      </w:pPr>
    </w:p>
    <w:p w:rsidR="008077C4" w:rsidRDefault="008077C4" w:rsidP="0032458B">
      <w:pPr>
        <w:pStyle w:val="ListeParagraf"/>
        <w:numPr>
          <w:ilvl w:val="0"/>
          <w:numId w:val="4"/>
        </w:numPr>
        <w:spacing w:after="0" w:line="259" w:lineRule="auto"/>
      </w:pPr>
      <w:proofErr w:type="gramStart"/>
      <w:r w:rsidRPr="000D1B31">
        <w:t>He/She is a national of the Turkish Republic of Northern Cyprus; Accepting the applications of those who reside in the Turkish Republic of Northern Cyprus and completed their secondary education in the Turkish Republic of Northern Cyprus and have GCE</w:t>
      </w:r>
      <w:r>
        <w:t xml:space="preserve"> </w:t>
      </w:r>
      <w:r w:rsidRPr="000D1B31">
        <w:t>AL exam results, and those who have or will have GCE</w:t>
      </w:r>
      <w:r>
        <w:t xml:space="preserve"> </w:t>
      </w:r>
      <w:r w:rsidRPr="000D1B31">
        <w:t>AL exam results by registering and studying at colleges and high schools in other countries between 2005-2010,</w:t>
      </w:r>
      <w:proofErr w:type="gramEnd"/>
    </w:p>
    <w:p w:rsidR="008077C4" w:rsidRDefault="008077C4" w:rsidP="0032458B">
      <w:pPr>
        <w:pStyle w:val="ListeParagraf"/>
      </w:pPr>
    </w:p>
    <w:p w:rsidR="008077C4" w:rsidRPr="009428BB" w:rsidRDefault="008077C4" w:rsidP="0032458B">
      <w:pPr>
        <w:pStyle w:val="ListeParagraf"/>
        <w:numPr>
          <w:ilvl w:val="0"/>
          <w:numId w:val="3"/>
        </w:numPr>
        <w:spacing w:after="0" w:line="259" w:lineRule="auto"/>
        <w:rPr>
          <w:b/>
        </w:rPr>
      </w:pPr>
      <w:r w:rsidRPr="009428BB">
        <w:rPr>
          <w:b/>
        </w:rPr>
        <w:t>From the candidates</w:t>
      </w:r>
    </w:p>
    <w:p w:rsidR="008077C4" w:rsidRPr="009428BB" w:rsidRDefault="008077C4" w:rsidP="0032458B">
      <w:pPr>
        <w:spacing w:after="0" w:line="259" w:lineRule="auto"/>
      </w:pPr>
    </w:p>
    <w:p w:rsidR="008077C4" w:rsidRDefault="008077C4" w:rsidP="0032458B">
      <w:pPr>
        <w:pStyle w:val="ListeParagraf"/>
        <w:numPr>
          <w:ilvl w:val="0"/>
          <w:numId w:val="5"/>
        </w:numPr>
        <w:spacing w:after="0" w:line="259" w:lineRule="auto"/>
      </w:pPr>
      <w:r w:rsidRPr="009428BB">
        <w:t>Those who are citizens of the Republic of Türkiye and completed their entire secondary education in Turkey or the Turkish Republic of Northern Cyprus,</w:t>
      </w:r>
    </w:p>
    <w:p w:rsidR="008077C4" w:rsidRDefault="008077C4" w:rsidP="0032458B">
      <w:pPr>
        <w:spacing w:after="0" w:line="259" w:lineRule="auto"/>
      </w:pPr>
    </w:p>
    <w:p w:rsidR="008077C4" w:rsidRDefault="008077C4" w:rsidP="0032458B">
      <w:pPr>
        <w:pStyle w:val="ListeParagraf"/>
        <w:numPr>
          <w:ilvl w:val="0"/>
          <w:numId w:val="5"/>
        </w:numPr>
        <w:spacing w:after="0" w:line="259" w:lineRule="auto"/>
      </w:pPr>
      <w:proofErr w:type="gramStart"/>
      <w:r w:rsidRPr="009D669F">
        <w:t>Those who are citizens of the Turkish Republic of Northern Cyprus (except those who completed their entire secondary education in the high schools of the Turkish Republic of Northern Cyprus and have GCE AL exam results, and those who have or will have GCE AL exam results by enrolling and receiving education in colleges and high schools in other countries between 2005-2010),</w:t>
      </w:r>
      <w:proofErr w:type="gramEnd"/>
    </w:p>
    <w:p w:rsidR="008077C4" w:rsidRDefault="008077C4" w:rsidP="0032458B">
      <w:pPr>
        <w:pStyle w:val="ListeParagraf"/>
      </w:pPr>
    </w:p>
    <w:p w:rsidR="008077C4" w:rsidRDefault="008077C4" w:rsidP="0032458B">
      <w:pPr>
        <w:pStyle w:val="ListeParagraf"/>
        <w:numPr>
          <w:ilvl w:val="0"/>
          <w:numId w:val="5"/>
        </w:numPr>
        <w:spacing w:after="0" w:line="259" w:lineRule="auto"/>
      </w:pPr>
      <w:r>
        <w:t xml:space="preserve"> His/her first nationality by birth, as defined in paragraph 2 of Article a, is Turkish Republic. Those with dual nationality,</w:t>
      </w:r>
    </w:p>
    <w:p w:rsidR="008077C4" w:rsidRDefault="008077C4" w:rsidP="0032458B">
      <w:pPr>
        <w:pStyle w:val="ListeParagraf"/>
        <w:spacing w:after="0" w:line="259" w:lineRule="auto"/>
        <w:ind w:left="1118" w:firstLine="0"/>
      </w:pPr>
      <w:r>
        <w:t>(except for those who meet the conditions in clause 4 of article a)</w:t>
      </w:r>
    </w:p>
    <w:p w:rsidR="008077C4" w:rsidRDefault="008077C4" w:rsidP="0032458B">
      <w:pPr>
        <w:pStyle w:val="ListeParagraf"/>
        <w:spacing w:after="0" w:line="259" w:lineRule="auto"/>
        <w:ind w:left="1118" w:firstLine="0"/>
      </w:pPr>
    </w:p>
    <w:p w:rsidR="008077C4" w:rsidRDefault="008077C4" w:rsidP="0032458B">
      <w:pPr>
        <w:pStyle w:val="ListeParagraf"/>
        <w:numPr>
          <w:ilvl w:val="0"/>
          <w:numId w:val="5"/>
        </w:numPr>
        <w:spacing w:after="0" w:line="259" w:lineRule="auto"/>
      </w:pPr>
      <w:proofErr w:type="gramStart"/>
      <w:r w:rsidRPr="00D74147">
        <w:t>Those who have dual citizenship, one of which is the Turkish Republic of Northern Cyprus (except those who have completed their entire secondary education in the Turkish Republic of Northern Cyprus high schools and have GCE AL exam results, and those who have or will have GCE AL exam results by enrolling and receiving education in colleges and high schools in other countries between 2005-2010 ),</w:t>
      </w:r>
      <w:proofErr w:type="gramEnd"/>
    </w:p>
    <w:p w:rsidR="008077C4" w:rsidRDefault="008077C4" w:rsidP="0032458B">
      <w:pPr>
        <w:pStyle w:val="ListeParagraf"/>
        <w:numPr>
          <w:ilvl w:val="0"/>
          <w:numId w:val="5"/>
        </w:numPr>
        <w:spacing w:after="0" w:line="259" w:lineRule="auto"/>
      </w:pPr>
      <w:r w:rsidRPr="00DD5630">
        <w:t>Turkish nationals who are studying at schools within the embassies in Turkey and foreign high schools in Turkey, or dual nationals whose first nationality is Turkish by birth, as defined in paragraph 2 of article a,</w:t>
      </w:r>
    </w:p>
    <w:p w:rsidR="008077C4" w:rsidRDefault="008077C4" w:rsidP="0032458B">
      <w:pPr>
        <w:spacing w:after="0" w:line="259" w:lineRule="auto"/>
      </w:pPr>
    </w:p>
    <w:p w:rsidR="008077C4" w:rsidRDefault="008077C4" w:rsidP="0032458B">
      <w:pPr>
        <w:pStyle w:val="ListeParagraf"/>
        <w:numPr>
          <w:ilvl w:val="0"/>
          <w:numId w:val="5"/>
        </w:numPr>
        <w:spacing w:after="0" w:line="259" w:lineRule="auto"/>
      </w:pPr>
      <w:proofErr w:type="gramStart"/>
      <w:r w:rsidRPr="00BC286C">
        <w:t xml:space="preserve">Citizens of the Turkish Republic of Northern Cyprus and those who have renounced citizenship of the Republic of Turkey/Blue Card holders and foreign nationals who will enroll in secondary education institutions in Turkey as of the 2022-2023 academic year (by embassy schools and international private education institutions in the MOBİS system and </w:t>
      </w:r>
      <w:r w:rsidRPr="00BC286C">
        <w:lastRenderedPageBreak/>
        <w:t xml:space="preserve">by the Ministry of National Education). </w:t>
      </w:r>
      <w:proofErr w:type="gramEnd"/>
      <w:r w:rsidRPr="00BC286C">
        <w:t>Applications (except for foreign nationals brought to our country within the framework of the project) are not accepted,</w:t>
      </w:r>
    </w:p>
    <w:p w:rsidR="008077C4" w:rsidRDefault="008077C4" w:rsidP="0032458B">
      <w:pPr>
        <w:spacing w:after="0" w:line="259" w:lineRule="auto"/>
        <w:ind w:firstLine="0"/>
      </w:pPr>
    </w:p>
    <w:p w:rsidR="008077C4" w:rsidRDefault="008077C4" w:rsidP="0032458B">
      <w:pPr>
        <w:spacing w:after="0" w:line="259" w:lineRule="auto"/>
        <w:ind w:firstLine="0"/>
        <w:rPr>
          <w:b/>
        </w:rPr>
      </w:pPr>
      <w:r>
        <w:rPr>
          <w:b/>
        </w:rPr>
        <w:t xml:space="preserve">    </w:t>
      </w:r>
      <w:r w:rsidRPr="008B456A">
        <w:rPr>
          <w:b/>
        </w:rPr>
        <w:t>C- Principles Regarding Admission Requirements of Universities:</w:t>
      </w:r>
    </w:p>
    <w:p w:rsidR="008077C4" w:rsidRDefault="008077C4" w:rsidP="0032458B">
      <w:pPr>
        <w:spacing w:after="0" w:line="259" w:lineRule="auto"/>
        <w:rPr>
          <w:b/>
        </w:rPr>
      </w:pPr>
      <w:r>
        <w:rPr>
          <w:b/>
        </w:rPr>
        <w:t xml:space="preserve">            </w:t>
      </w:r>
    </w:p>
    <w:p w:rsidR="008077C4" w:rsidRDefault="008077C4" w:rsidP="0032458B">
      <w:pPr>
        <w:pStyle w:val="ListeParagraf"/>
        <w:numPr>
          <w:ilvl w:val="0"/>
          <w:numId w:val="6"/>
        </w:numPr>
        <w:spacing w:after="0" w:line="259" w:lineRule="auto"/>
      </w:pPr>
      <w:r w:rsidRPr="00EF6D9F">
        <w:t>Countries' own national exams, international exams, secondary education grade point averages, exams conducted by universities (except state higher education institutions as of 2024-2025), etc. The principles regarding the admission of students from abroad, including the minimum scores of the methods to be used in student admission such as, are prepared in the form of a directive or regulation accepted by the University senates and submitted to the Higher Education Executive Board for approval,</w:t>
      </w:r>
    </w:p>
    <w:p w:rsidR="008077C4" w:rsidRDefault="008077C4" w:rsidP="0032458B">
      <w:pPr>
        <w:spacing w:after="0" w:line="259" w:lineRule="auto"/>
      </w:pPr>
    </w:p>
    <w:p w:rsidR="008077C4" w:rsidRDefault="008077C4" w:rsidP="0032458B">
      <w:pPr>
        <w:pStyle w:val="ListeParagraf"/>
        <w:numPr>
          <w:ilvl w:val="0"/>
          <w:numId w:val="6"/>
        </w:numPr>
        <w:spacing w:after="0" w:line="259" w:lineRule="auto"/>
      </w:pPr>
      <w:r w:rsidRPr="00010FBA">
        <w:t>Adding a financial guarantee amount to the conditions and principles to be determined by universities in order to ensure that the financial means of students coming from abroad enable them to continue their higher education in our country,</w:t>
      </w:r>
    </w:p>
    <w:p w:rsidR="008077C4" w:rsidRDefault="008077C4" w:rsidP="0032458B">
      <w:pPr>
        <w:pStyle w:val="ListeParagraf"/>
      </w:pPr>
    </w:p>
    <w:p w:rsidR="008077C4" w:rsidRDefault="008077C4" w:rsidP="0032458B">
      <w:pPr>
        <w:pStyle w:val="ListeParagraf"/>
        <w:numPr>
          <w:ilvl w:val="0"/>
          <w:numId w:val="6"/>
        </w:numPr>
        <w:spacing w:after="0" w:line="259" w:lineRule="auto"/>
      </w:pPr>
      <w:r>
        <w:t>Universities in our country issue an acceptance letter or an equivalent document to students they accept from foreign national candidates who come to our country legally,</w:t>
      </w:r>
    </w:p>
    <w:p w:rsidR="008077C4" w:rsidRDefault="008077C4" w:rsidP="0032458B">
      <w:pPr>
        <w:pStyle w:val="ListeParagraf"/>
        <w:spacing w:after="0" w:line="259" w:lineRule="auto"/>
        <w:ind w:left="1658" w:firstLine="0"/>
      </w:pPr>
      <w:r>
        <w:t xml:space="preserve">              </w:t>
      </w:r>
      <w:proofErr w:type="gramStart"/>
      <w:r>
        <w:t xml:space="preserve">If accepted by the relevant boards of higher education institutions, the examination will be carried out by the relevant higher education institution for the candidates who applied in the interim period, and the candidates who meet the application requirement will receive a "preliminary acceptance letter" for the next academic year, not exceeding 1/3 of the international student admission quota of the relevant university in the previous year. </w:t>
      </w:r>
      <w:proofErr w:type="gramEnd"/>
      <w:r>
        <w:t>” or an equivalent document can be issued,</w:t>
      </w:r>
    </w:p>
    <w:p w:rsidR="008077C4" w:rsidRDefault="008077C4" w:rsidP="0032458B">
      <w:pPr>
        <w:spacing w:after="0" w:line="259" w:lineRule="auto"/>
        <w:ind w:firstLine="0"/>
      </w:pPr>
    </w:p>
    <w:p w:rsidR="008077C4" w:rsidRDefault="008077C4" w:rsidP="0032458B">
      <w:pPr>
        <w:pStyle w:val="ListeParagraf"/>
        <w:numPr>
          <w:ilvl w:val="0"/>
          <w:numId w:val="6"/>
        </w:numPr>
        <w:spacing w:after="0" w:line="259" w:lineRule="auto"/>
      </w:pPr>
      <w:r w:rsidRPr="0072258F">
        <w:t>Preparing promotional documents and catalogs for our universities in order to enable students from abroad to choose our country's universities in their preferences, encouraging our universities to participate in education fairs abroad, and establishing Foreign Student Offices within universities in order to assist applying or incoming students,</w:t>
      </w:r>
    </w:p>
    <w:p w:rsidR="008077C4" w:rsidRDefault="008077C4" w:rsidP="0032458B">
      <w:pPr>
        <w:spacing w:after="0" w:line="259" w:lineRule="auto"/>
      </w:pPr>
    </w:p>
    <w:p w:rsidR="008077C4" w:rsidRDefault="008077C4" w:rsidP="0032458B">
      <w:pPr>
        <w:pStyle w:val="ListeParagraf"/>
        <w:numPr>
          <w:ilvl w:val="0"/>
          <w:numId w:val="6"/>
        </w:numPr>
        <w:spacing w:after="0" w:line="259" w:lineRule="auto"/>
      </w:pPr>
      <w:r w:rsidRPr="00F87D49">
        <w:t>Higher education institutions must determine the application calendar within the framework of the determined quota of students from abroad and indicate it in the academic calendar, and inform the Presidency of the Council of Higher Education about the information about the registered students,</w:t>
      </w:r>
    </w:p>
    <w:p w:rsidR="008077C4" w:rsidRDefault="008077C4" w:rsidP="0032458B">
      <w:pPr>
        <w:pStyle w:val="ListeParagraf"/>
      </w:pPr>
    </w:p>
    <w:p w:rsidR="008077C4" w:rsidRPr="00EF6D9F" w:rsidRDefault="008077C4" w:rsidP="0032458B">
      <w:pPr>
        <w:pStyle w:val="ListeParagraf"/>
        <w:numPr>
          <w:ilvl w:val="0"/>
          <w:numId w:val="6"/>
        </w:numPr>
        <w:spacing w:after="0" w:line="259" w:lineRule="auto"/>
      </w:pPr>
      <w:r w:rsidRPr="00FB7556">
        <w:t xml:space="preserve"> It has been deemed appropriate for the Turkish language proficiency of students coming from abroad to be evaluated by the relevant higher education institution within the framework of the conditions and required documents determined by the university to which they have been accepted.</w:t>
      </w:r>
    </w:p>
    <w:p w:rsidR="00F33A12" w:rsidRDefault="00F33A12" w:rsidP="0032458B"/>
    <w:sectPr w:rsidR="00F33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95B8E"/>
    <w:multiLevelType w:val="hybridMultilevel"/>
    <w:tmpl w:val="87D67D5E"/>
    <w:lvl w:ilvl="0" w:tplc="0F92D636">
      <w:start w:val="1"/>
      <w:numFmt w:val="lowerLetter"/>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 w15:restartNumberingAfterBreak="0">
    <w:nsid w:val="4B361A5D"/>
    <w:multiLevelType w:val="hybridMultilevel"/>
    <w:tmpl w:val="2430B3DC"/>
    <w:lvl w:ilvl="0" w:tplc="A48298E6">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58853081"/>
    <w:multiLevelType w:val="hybridMultilevel"/>
    <w:tmpl w:val="AB2AFB70"/>
    <w:lvl w:ilvl="0" w:tplc="2C16A592">
      <w:start w:val="1"/>
      <w:numFmt w:val="decimal"/>
      <w:lvlText w:val="%1)"/>
      <w:lvlJc w:val="left"/>
      <w:pPr>
        <w:ind w:left="1658" w:hanging="360"/>
      </w:pPr>
      <w:rPr>
        <w:rFonts w:hint="default"/>
      </w:rPr>
    </w:lvl>
    <w:lvl w:ilvl="1" w:tplc="041F0019" w:tentative="1">
      <w:start w:val="1"/>
      <w:numFmt w:val="lowerLetter"/>
      <w:lvlText w:val="%2."/>
      <w:lvlJc w:val="left"/>
      <w:pPr>
        <w:ind w:left="2378" w:hanging="360"/>
      </w:pPr>
    </w:lvl>
    <w:lvl w:ilvl="2" w:tplc="041F001B" w:tentative="1">
      <w:start w:val="1"/>
      <w:numFmt w:val="lowerRoman"/>
      <w:lvlText w:val="%3."/>
      <w:lvlJc w:val="right"/>
      <w:pPr>
        <w:ind w:left="3098" w:hanging="180"/>
      </w:pPr>
    </w:lvl>
    <w:lvl w:ilvl="3" w:tplc="041F000F" w:tentative="1">
      <w:start w:val="1"/>
      <w:numFmt w:val="decimal"/>
      <w:lvlText w:val="%4."/>
      <w:lvlJc w:val="left"/>
      <w:pPr>
        <w:ind w:left="3818" w:hanging="360"/>
      </w:pPr>
    </w:lvl>
    <w:lvl w:ilvl="4" w:tplc="041F0019" w:tentative="1">
      <w:start w:val="1"/>
      <w:numFmt w:val="lowerLetter"/>
      <w:lvlText w:val="%5."/>
      <w:lvlJc w:val="left"/>
      <w:pPr>
        <w:ind w:left="4538" w:hanging="360"/>
      </w:pPr>
    </w:lvl>
    <w:lvl w:ilvl="5" w:tplc="041F001B" w:tentative="1">
      <w:start w:val="1"/>
      <w:numFmt w:val="lowerRoman"/>
      <w:lvlText w:val="%6."/>
      <w:lvlJc w:val="right"/>
      <w:pPr>
        <w:ind w:left="5258" w:hanging="180"/>
      </w:pPr>
    </w:lvl>
    <w:lvl w:ilvl="6" w:tplc="041F000F" w:tentative="1">
      <w:start w:val="1"/>
      <w:numFmt w:val="decimal"/>
      <w:lvlText w:val="%7."/>
      <w:lvlJc w:val="left"/>
      <w:pPr>
        <w:ind w:left="5978" w:hanging="360"/>
      </w:pPr>
    </w:lvl>
    <w:lvl w:ilvl="7" w:tplc="041F0019" w:tentative="1">
      <w:start w:val="1"/>
      <w:numFmt w:val="lowerLetter"/>
      <w:lvlText w:val="%8."/>
      <w:lvlJc w:val="left"/>
      <w:pPr>
        <w:ind w:left="6698" w:hanging="360"/>
      </w:pPr>
    </w:lvl>
    <w:lvl w:ilvl="8" w:tplc="041F001B" w:tentative="1">
      <w:start w:val="1"/>
      <w:numFmt w:val="lowerRoman"/>
      <w:lvlText w:val="%9."/>
      <w:lvlJc w:val="right"/>
      <w:pPr>
        <w:ind w:left="7418" w:hanging="180"/>
      </w:pPr>
    </w:lvl>
  </w:abstractNum>
  <w:abstractNum w:abstractNumId="3" w15:restartNumberingAfterBreak="0">
    <w:nsid w:val="5AA53338"/>
    <w:multiLevelType w:val="hybridMultilevel"/>
    <w:tmpl w:val="0D8629CE"/>
    <w:lvl w:ilvl="0" w:tplc="E0A0D4FA">
      <w:start w:val="1"/>
      <w:numFmt w:val="decimal"/>
      <w:lvlText w:val="%1)"/>
      <w:lvlJc w:val="left"/>
      <w:pPr>
        <w:ind w:left="1118" w:hanging="360"/>
      </w:pPr>
      <w:rPr>
        <w:rFonts w:hint="default"/>
      </w:rPr>
    </w:lvl>
    <w:lvl w:ilvl="1" w:tplc="041F0019" w:tentative="1">
      <w:start w:val="1"/>
      <w:numFmt w:val="lowerLetter"/>
      <w:lvlText w:val="%2."/>
      <w:lvlJc w:val="left"/>
      <w:pPr>
        <w:ind w:left="1838" w:hanging="360"/>
      </w:pPr>
    </w:lvl>
    <w:lvl w:ilvl="2" w:tplc="041F001B" w:tentative="1">
      <w:start w:val="1"/>
      <w:numFmt w:val="lowerRoman"/>
      <w:lvlText w:val="%3."/>
      <w:lvlJc w:val="right"/>
      <w:pPr>
        <w:ind w:left="2558" w:hanging="180"/>
      </w:pPr>
    </w:lvl>
    <w:lvl w:ilvl="3" w:tplc="041F000F" w:tentative="1">
      <w:start w:val="1"/>
      <w:numFmt w:val="decimal"/>
      <w:lvlText w:val="%4."/>
      <w:lvlJc w:val="left"/>
      <w:pPr>
        <w:ind w:left="3278" w:hanging="360"/>
      </w:pPr>
    </w:lvl>
    <w:lvl w:ilvl="4" w:tplc="041F0019" w:tentative="1">
      <w:start w:val="1"/>
      <w:numFmt w:val="lowerLetter"/>
      <w:lvlText w:val="%5."/>
      <w:lvlJc w:val="left"/>
      <w:pPr>
        <w:ind w:left="3998" w:hanging="360"/>
      </w:pPr>
    </w:lvl>
    <w:lvl w:ilvl="5" w:tplc="041F001B" w:tentative="1">
      <w:start w:val="1"/>
      <w:numFmt w:val="lowerRoman"/>
      <w:lvlText w:val="%6."/>
      <w:lvlJc w:val="right"/>
      <w:pPr>
        <w:ind w:left="4718" w:hanging="180"/>
      </w:pPr>
    </w:lvl>
    <w:lvl w:ilvl="6" w:tplc="041F000F" w:tentative="1">
      <w:start w:val="1"/>
      <w:numFmt w:val="decimal"/>
      <w:lvlText w:val="%7."/>
      <w:lvlJc w:val="left"/>
      <w:pPr>
        <w:ind w:left="5438" w:hanging="360"/>
      </w:pPr>
    </w:lvl>
    <w:lvl w:ilvl="7" w:tplc="041F0019" w:tentative="1">
      <w:start w:val="1"/>
      <w:numFmt w:val="lowerLetter"/>
      <w:lvlText w:val="%8."/>
      <w:lvlJc w:val="left"/>
      <w:pPr>
        <w:ind w:left="6158" w:hanging="360"/>
      </w:pPr>
    </w:lvl>
    <w:lvl w:ilvl="8" w:tplc="041F001B" w:tentative="1">
      <w:start w:val="1"/>
      <w:numFmt w:val="lowerRoman"/>
      <w:lvlText w:val="%9."/>
      <w:lvlJc w:val="right"/>
      <w:pPr>
        <w:ind w:left="6878" w:hanging="180"/>
      </w:pPr>
    </w:lvl>
  </w:abstractNum>
  <w:abstractNum w:abstractNumId="4" w15:restartNumberingAfterBreak="0">
    <w:nsid w:val="7C2A27E0"/>
    <w:multiLevelType w:val="hybridMultilevel"/>
    <w:tmpl w:val="4CB4E7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9A3116"/>
    <w:multiLevelType w:val="hybridMultilevel"/>
    <w:tmpl w:val="2FA2B1D4"/>
    <w:lvl w:ilvl="0" w:tplc="6D8CF94A">
      <w:start w:val="1"/>
      <w:numFmt w:val="lowerLetter"/>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52"/>
    <w:rsid w:val="000537A5"/>
    <w:rsid w:val="0032458B"/>
    <w:rsid w:val="008077C4"/>
    <w:rsid w:val="00844BFB"/>
    <w:rsid w:val="00A332CC"/>
    <w:rsid w:val="00CB2B52"/>
    <w:rsid w:val="00F33A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90461-57F1-43D1-A1D7-71CAE5F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C4"/>
    <w:pPr>
      <w:spacing w:after="210" w:line="304" w:lineRule="auto"/>
      <w:ind w:firstLine="698"/>
      <w:jc w:val="both"/>
    </w:pPr>
    <w:rPr>
      <w:rFonts w:ascii="Times New Roman" w:eastAsia="Times New Roman" w:hAnsi="Times New Roman" w:cs="Times New Roman"/>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1761</Words>
  <Characters>10040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2024-08-06T10:32:00Z</dcterms:created>
  <dcterms:modified xsi:type="dcterms:W3CDTF">2024-08-06T10:32:00Z</dcterms:modified>
</cp:coreProperties>
</file>