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ED" w:rsidRDefault="006104ED" w:rsidP="006104ED">
      <w:pPr>
        <w:jc w:val="center"/>
        <w:rPr>
          <w:rFonts w:ascii="Hurme Geometric Sans 1" w:hAnsi="Hurme Geometric Sans 1"/>
          <w:b/>
          <w:sz w:val="20"/>
          <w:szCs w:val="20"/>
        </w:rPr>
      </w:pPr>
    </w:p>
    <w:p w:rsidR="00053882" w:rsidRPr="002115E9" w:rsidRDefault="00053882" w:rsidP="00053882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2115E9">
        <w:rPr>
          <w:rFonts w:ascii="Hurme Geometric Sans 1" w:hAnsi="Hurme Geometric Sans 1"/>
          <w:b/>
          <w:sz w:val="20"/>
          <w:szCs w:val="20"/>
        </w:rPr>
        <w:t xml:space="preserve">Sağlık Bilimleri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053882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053882" w:rsidRPr="00D12BB1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53882" w:rsidRPr="00D12BB1" w:rsidTr="00BB596D">
        <w:trPr>
          <w:trHeight w:val="578"/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053882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053882" w:rsidRPr="00D12BB1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53882" w:rsidRPr="00D12BB1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053882" w:rsidRPr="00BB6D18" w:rsidRDefault="00BB6D18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BB6D18">
              <w:rPr>
                <w:rFonts w:ascii="Hurme Geometric Sans 1" w:hAnsi="Hurme Geometric Sans 1"/>
                <w:sz w:val="20"/>
                <w:szCs w:val="20"/>
              </w:rPr>
              <w:t xml:space="preserve">İdari İşlemler </w:t>
            </w:r>
            <w:r w:rsidR="00053882" w:rsidRPr="00BB6D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bookmarkEnd w:id="0"/>
          </w:p>
        </w:tc>
        <w:tc>
          <w:tcPr>
            <w:tcW w:w="3837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053882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053882" w:rsidRPr="00D12BB1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53882" w:rsidRPr="00195B85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053882" w:rsidRPr="008B4DF6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053882" w:rsidRPr="008B4DF6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053882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053882" w:rsidRPr="00D12BB1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53882" w:rsidRPr="00195B85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053882" w:rsidRPr="008B4DF6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053882" w:rsidRPr="008B4DF6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053882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Destek Hizmetleri Birimi</w:t>
            </w:r>
          </w:p>
        </w:tc>
      </w:tr>
      <w:tr w:rsidR="00053882" w:rsidRPr="00D12BB1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53882" w:rsidRPr="00195B85" w:rsidTr="00BB596D">
        <w:trPr>
          <w:jc w:val="center"/>
        </w:trPr>
        <w:tc>
          <w:tcPr>
            <w:tcW w:w="2914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053882" w:rsidRPr="008B4DF6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053882" w:rsidRPr="008B4DF6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8B4DF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053882" w:rsidRPr="002115E9" w:rsidRDefault="00053882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115E9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</w:tc>
      </w:tr>
    </w:tbl>
    <w:p w:rsidR="00DA304A" w:rsidRDefault="00DA304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53882"/>
    <w:rsid w:val="00274559"/>
    <w:rsid w:val="002D288C"/>
    <w:rsid w:val="00474576"/>
    <w:rsid w:val="006104ED"/>
    <w:rsid w:val="008B4DF6"/>
    <w:rsid w:val="00B22B6B"/>
    <w:rsid w:val="00BB6D18"/>
    <w:rsid w:val="00C44BBF"/>
    <w:rsid w:val="00C528BA"/>
    <w:rsid w:val="00D81AB9"/>
    <w:rsid w:val="00DA304A"/>
    <w:rsid w:val="00E8539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2025-01-09T13:02:00Z</dcterms:created>
  <dcterms:modified xsi:type="dcterms:W3CDTF">2025-01-09T13:32:00Z</dcterms:modified>
</cp:coreProperties>
</file>